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文物与博物馆学系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2026文物与博物馆学本科培养方案（留学生适用）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文物与博物馆学系是国内创办时间最长、影响最大的文博教学与科研机构之一，是全国文物、博物馆专业学位研究生教育指导委员会秘书处单位，拥有40多年的学科发展史，并下设博物馆学、考古学、文化遗产（包括文物学、文物保护）三大方向。文物与博物馆学专业是国家级一流本科专业建设点，近年来，已形成了“考古发掘研究”“文化遗产保护管理”“博物馆阐释传播利用”的“三位一体”式发展格局。文物与博物馆学系拥有10多个教学与科研平台、1个国际级教席、1项国家级考古发掘资质，旗下的复旦大学科技考古研究院拥有近10个实验室，是学校双一流建设规划重点项目。</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德智体美劳全面发展、具备理论和实践双重能力的创新复合型文博人才。学生应具有良好的思想道德素质和科学的世界观，具有人文情怀，具备突出的科学素养与创新思维、开阔的国际视野和跨文化环境下的交流与合作能力，能够服务国家重大战略需求。</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要求学生努力学习马克思主义的基本理论和基本观点，学习文物学、博物馆学的基本理论和基础知识，受到历史、艺术、文化和科技等综合知识的基本训练。学生必须掌握文物学和博物馆学的基本理论和基本知识；掌握我国主要文物种类和重要文物实例；较熟练地掌握一门外语；具有对人类文化遗产、自然遗产进行管理的能力，熟知博物馆的基本职能和全面的操作管理要求；了解文物修缮、保管的传统方法和现代科技知识；掌握文献检索、资料查询的基本方法和手段。</w:t>
      </w:r>
    </w:p>
    <w:p>
      <w:pPr>
        <w:spacing w:after="0"/>
        <w:ind w:left="0"/>
        <w:jc w:val="left"/>
      </w:pPr>
      <w:r>
        <w:drawing>
          <wp:inline distT="0" distB="0" distL="0" distR="0">
            <wp:extent cx="5732145" cy="206217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2171"/>
                    </a:xfrm>
                    <a:prstGeom prst="rect">
                      <a:avLst/>
                    </a:prstGeom>
                  </pic:spPr>
                </pic:pic>
              </a:graphicData>
            </a:graphic>
          </wp:inline>
        </w:drawing>
      </w:r>
      <w:r>
        <w:rPr>
          <w:rFonts w:ascii="SimSun" w:hAnsi="SimSun"/>
          <w:b w:val="false"/>
          <w:i w:val="false"/>
          <w:color w:val="000000"/>
          <w:sz w:val="21"/>
        </w:rPr>
        <w:t xml:space="preserve"> </w:t>
      </w:r>
    </w:p>
    <w:p>
      <w:pPr>
        <w:spacing w:after="0"/>
        <w:ind w:left="0"/>
        <w:jc w:val="left"/>
      </w:pP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51957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519579"/>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29612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296120"/>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    学生毕业时须满足通识教育课程（含通识教育核心课程和专项教育课程）42学分、专业培养课程40学分、融合创新能力模块17学分和多元发展路径课程的修读要求，总学分不低于129学分（含实践学分不低于20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val="false"/>
          <w:i w:val="false"/>
          <w:color w:val="000000"/>
          <w:sz w:val="21"/>
        </w:rPr>
        <w:t xml:space="preserve">    其中，留学生需满足通识教育课程26学分的要求，总学分不低于113学分。</w:t>
      </w:r>
    </w:p>
    <w:p>
      <w:pPr>
        <w:spacing w:after="0"/>
        <w:ind w:left="0"/>
        <w:jc w:val="left"/>
      </w:pPr>
      <w:r>
        <w:rPr>
          <w:rFonts w:ascii="SimSun" w:hAnsi="SimSun"/>
          <w:b w:val="false"/>
          <w:i w:val="false"/>
          <w:color w:val="000000"/>
          <w:sz w:val="21"/>
        </w:rPr>
        <w:t xml:space="preserve">    留学生和港澳台侨学生的通识教育课程修读要求，以及留学生的水平测试要求，参见相应修读说明。</w:t>
      </w:r>
    </w:p>
    <w:p>
      <w:pPr>
        <w:spacing w:after="0"/>
        <w:ind w:left="0"/>
        <w:jc w:val="left"/>
      </w:pP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4年级结束时，如达到学士学位要求者授予历史学学士学位。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（3）在此基础上，达到文博系“本科荣誉证书”获得条件的授予“本科荣誉证书”，具体要求请见文博系“荣誉项目”实施方案。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 xml:space="preserve">    文博专业课程与多学科方法并重的课程体系，以博物馆学、文化遗产（包括文物学、文物保护）、考古学各方向的基础课程构成专业核心课程体系，以各学科专业领域为横、课程内容梯度为纵建立了难度逐级提升的专业进阶课程体系。</w:t>
      </w:r>
    </w:p>
    <w:p>
      <w:pPr>
        <w:spacing w:after="0"/>
        <w:ind w:left="0"/>
        <w:jc w:val="left"/>
      </w:pPr>
      <w:r>
        <w:rPr>
          <w:rFonts w:ascii="SimSun" w:hAnsi="SimSun"/>
          <w:b w:val="false"/>
          <w:i w:val="false"/>
          <w:color w:val="000000"/>
          <w:sz w:val="21"/>
        </w:rPr>
        <w:t>2.科研体系</w:t>
      </w:r>
    </w:p>
    <w:p>
      <w:pPr>
        <w:spacing w:after="0"/>
        <w:ind w:left="0"/>
        <w:jc w:val="left"/>
      </w:pPr>
      <w:r>
        <w:rPr>
          <w:rFonts w:ascii="SimSun" w:hAnsi="SimSun"/>
          <w:b w:val="false"/>
          <w:i w:val="false"/>
          <w:color w:val="000000"/>
          <w:sz w:val="21"/>
        </w:rPr>
        <w:t xml:space="preserve">    建立螺旋递进的全周期科研训练体系，给低年级本科生配备学业导师，鼓励师生共创，通过复芏计划（FDUROP）等项目引导学生在“做中学、学中悟、悟中创”。通过文博各方向科研实践实训，引导学生早参加课题，培育学术兴趣，激发创新志趣。</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通识教育课程（26学分）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（留学生修读）七大模块课程8学分（每模块最多修读1门课程）。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（留学生）要求修读18学分， 课程设置详见专项教育课程。
      </w:t>
      </w:r>
    </w:p>
    <w:p>
      <w:pPr>
        <w:spacing w:after="0"/>
        <w:ind w:left="0"/>
        <w:jc w:val="left"/>
      </w:pPr>
      <w:r>
        <w:rPr>
          <w:rFonts w:ascii="SimSun" w:hAnsi="SimSun"/>
          <w:b/>
          <w:i w:val="false"/>
          <w:color w:val="000000"/>
          <w:sz w:val="21"/>
        </w:rPr>
        <w:t xml:space="preserve">
       (二) 专业培养课程（40学分）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学科基础课程（15学分）
      </w:t>
      </w:r>
    </w:p>
    <w:p>
      <w:pPr>
        <w:spacing w:after="0"/>
        <w:ind w:left="0"/>
        <w:jc w:val="left"/>
      </w:pPr>
      <w:r>
        <w:rPr>
          <w:rFonts w:ascii="SimSun" w:hAnsi="SimSun"/>
          <w:b w:val="false"/>
          <w:i w:val="false"/>
          <w:color w:val="000000"/>
          <w:sz w:val="21"/>
        </w:rPr>
        <w:t xml:space="preserve">
       要求修读15学分。基础理论课程（跨院系必修）修满9学分，课程为“中国文学经典”、“中国古代文明”、“哲学导论”、“逻辑学”（其中“哲学导论”、“逻辑学”二选一）。基础理论课程（跨院系选修）中需必修“考古学导论”2学分。需至少修读1门其他院系开设的基础理论课程（跨院系选修）。课程设置详见学科基础课程（人文基础）。
      </w:t>
      </w:r>
    </w:p>
    <w:p>
      <w:pPr>
        <w:spacing w:after="0"/>
        <w:ind w:left="0"/>
        <w:jc w:val="left"/>
      </w:pPr>
      <w:r>
        <w:rPr>
          <w:rFonts w:ascii="SimSun" w:hAnsi="SimSun"/>
          <w:b/>
          <w:i w:val="false"/>
          <w:color w:val="000000"/>
          <w:sz w:val="21"/>
        </w:rPr>
        <w:t xml:space="preserve">
       2.  专业核心教育课程（25学分）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w:t>
            </w:r>
            <w:r>
              <w:br/>
            </w:r>
            <w:r>
              <w:rPr>
                <w:rFonts w:ascii="SimSun" w:hAnsi="SimSun"/>
                <w:b w:val="false"/>
                <w:i w:val="false"/>
                <w:color w:val="000000"/>
                <w:sz w:val="21"/>
              </w:rPr>
              <w:t>The History of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文物保护基础</w:t>
            </w:r>
            <w:r>
              <w:br/>
            </w:r>
            <w:r>
              <w:rPr>
                <w:rFonts w:ascii="SimSun" w:hAnsi="SimSun"/>
                <w:b w:val="false"/>
                <w:i w:val="false"/>
                <w:color w:val="000000"/>
                <w:sz w:val="21"/>
              </w:rPr>
              <w:t>Basics of Cultural Relic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文化遗产导论</w:t>
            </w:r>
            <w:r>
              <w:br/>
            </w:r>
            <w:r>
              <w:rPr>
                <w:rFonts w:ascii="SimSun" w:hAnsi="SimSun"/>
                <w:b w:val="false"/>
                <w:i w:val="false"/>
                <w:color w:val="000000"/>
                <w:sz w:val="21"/>
              </w:rPr>
              <w:t>Introduction to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科技考古导论</w:t>
            </w:r>
            <w:r>
              <w:br/>
            </w:r>
            <w:r>
              <w:rPr>
                <w:rFonts w:ascii="SimSun" w:hAnsi="SimSun"/>
                <w:b w:val="false"/>
                <w:i w:val="false"/>
                <w:color w:val="000000"/>
                <w:sz w:val="21"/>
              </w:rPr>
              <w:t>Introduction to Archaeological Science and Technology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非物质文化遗产导论</w:t>
            </w:r>
            <w:r>
              <w:br/>
            </w:r>
            <w:r>
              <w:rPr>
                <w:rFonts w:ascii="SimSun" w:hAnsi="SimSun"/>
                <w:b w:val="false"/>
                <w:i w:val="false"/>
                <w:color w:val="000000"/>
                <w:sz w:val="21"/>
              </w:rPr>
              <w:t>Introduction to Intangible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文物研究导论</w:t>
            </w:r>
            <w:r>
              <w:br/>
            </w:r>
            <w:r>
              <w:rPr>
                <w:rFonts w:ascii="SimSun" w:hAnsi="SimSun"/>
                <w:b w:val="false"/>
                <w:i w:val="false"/>
                <w:color w:val="000000"/>
                <w:sz w:val="21"/>
              </w:rPr>
              <w:t>Introduction to the Study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博物馆经营管理</w:t>
            </w:r>
            <w:r>
              <w:br/>
            </w:r>
            <w:r>
              <w:rPr>
                <w:rFonts w:ascii="SimSun" w:hAnsi="SimSun"/>
                <w:b w:val="false"/>
                <w:i w:val="false"/>
                <w:color w:val="000000"/>
                <w:sz w:val="21"/>
              </w:rPr>
              <w:t>Museum Management</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专业论文写作</w:t>
            </w:r>
            <w:r>
              <w:br/>
            </w:r>
            <w:r>
              <w:rPr>
                <w:rFonts w:ascii="SimSun" w:hAnsi="SimSun"/>
                <w:b w:val="false"/>
                <w:i w:val="false"/>
                <w:color w:val="000000"/>
                <w:sz w:val="21"/>
              </w:rPr>
              <w:t>Academic Thesis Writing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博物馆职业伦理与法规</w:t>
            </w:r>
            <w:r>
              <w:br/>
            </w:r>
            <w:r>
              <w:rPr>
                <w:rFonts w:ascii="SimSun" w:hAnsi="SimSun"/>
                <w:b w:val="false"/>
                <w:i w:val="false"/>
                <w:color w:val="000000"/>
                <w:sz w:val="21"/>
              </w:rPr>
              <w:t>Museum Ethics and Legislation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w:t>
            </w:r>
            <w:r>
              <w:br/>
            </w:r>
            <w:r>
              <w:rPr>
                <w:rFonts w:ascii="SimSun" w:hAnsi="SimSun"/>
                <w:b w:val="false"/>
                <w:i w:val="false"/>
                <w:color w:val="000000"/>
                <w:sz w:val="21"/>
              </w:rPr>
              <w:t>Professional English</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0.9</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包括专业进阶（含荣誉项目）、跨学科发展、辅修学士学位项目、创新创业等不同路径，要求在院系专业导师指导下选择1条发展路径，按路径要求修读课程。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专业进阶路径（30学分）
      </w:t>
      </w:r>
    </w:p>
    <w:p>
      <w:pPr>
        <w:spacing w:after="0"/>
        <w:ind w:left="0"/>
        <w:jc w:val="left"/>
      </w:pPr>
      <w:r>
        <w:rPr>
          <w:rFonts w:ascii="SimSun" w:hAnsi="SimSun"/>
          <w:b w:val="false"/>
          <w:i w:val="false"/>
          <w:color w:val="000000"/>
          <w:sz w:val="21"/>
        </w:rPr>
        <w:t xml:space="preserve">
       修满30学分。要求在本专业进阶课程或荣誉课程中修读（其中专业进阶I和专业进阶II分别修读15学分）。
      </w:t>
      </w:r>
    </w:p>
    <w:p>
      <w:pPr>
        <w:spacing w:after="0"/>
        <w:ind w:left="0"/>
        <w:jc w:val="left"/>
      </w:pPr>
      <w:r>
        <w:rPr>
          <w:rFonts w:ascii="SimSun" w:hAnsi="SimSun"/>
          <w:b/>
          <w:i w:val="false"/>
          <w:color w:val="000000"/>
          <w:sz w:val="21"/>
        </w:rPr>
        <w:t xml:space="preserve">
       (1) 专业进阶模块I（15学分）
      </w:t>
      </w:r>
    </w:p>
    <w:tbl>
      <w:tblPr>
        <w:tblW w:w="0" w:type="auto"/>
        <w:tblCellSpacing w:w="0" w:type="auto"/>
        <w:tblBorders>
          <w:top w:val="none"/>
          <w:left w:val="none"/>
          <w:bottom w:val="none"/>
          <w:right w:val="none"/>
          <w:insideH w:val="none"/>
          <w:insideV w:val="none"/>
        </w:tblBorders>
      </w:tblPr>
      <w:tblGrid>
        <w:gridCol w:w="2035"/>
        <w:gridCol w:w="2722"/>
        <w:gridCol w:w="680"/>
        <w:gridCol w:w="681"/>
        <w:gridCol w:w="950"/>
        <w:gridCol w:w="1538"/>
        <w:gridCol w:w="680"/>
        <w:gridCol w:w="680"/>
        <w:gridCol w:w="680"/>
        <w:gridCol w:w="679"/>
        <w:gridCol w:w="951"/>
        <w:gridCol w:w="1358"/>
      </w:tblGrid>
      <w:tr>
        <w:trPr>
          <w:trHeight w:val="45" w:hRule="atLeast"/>
        </w:trPr>
        <w:tc>
          <w:tcPr>
            <w:tcW w:w="20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博物馆学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博物馆藏品管理</w:t>
            </w:r>
            <w:r>
              <w:br/>
            </w:r>
            <w:r>
              <w:rPr>
                <w:rFonts w:ascii="SimSun" w:hAnsi="SimSun"/>
                <w:b w:val="false"/>
                <w:i w:val="false"/>
                <w:color w:val="000000"/>
                <w:sz w:val="21"/>
              </w:rPr>
              <w:t>Management of Museum Collections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展览形式设计</w:t>
            </w:r>
            <w:r>
              <w:br/>
            </w:r>
            <w:r>
              <w:rPr>
                <w:rFonts w:ascii="SimSun" w:hAnsi="SimSun"/>
                <w:b w:val="false"/>
                <w:i w:val="false"/>
                <w:color w:val="000000"/>
                <w:sz w:val="21"/>
              </w:rPr>
              <w:t>Formal Design of Museum Display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展览内容策划</w:t>
            </w:r>
            <w:r>
              <w:br/>
            </w:r>
            <w:r>
              <w:rPr>
                <w:rFonts w:ascii="SimSun" w:hAnsi="SimSun"/>
                <w:b w:val="false"/>
                <w:i w:val="false"/>
                <w:color w:val="000000"/>
                <w:sz w:val="21"/>
              </w:rPr>
              <w:t>Exhibition Content Planning</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博物馆教育</w:t>
            </w:r>
            <w:r>
              <w:br/>
            </w:r>
            <w:r>
              <w:rPr>
                <w:rFonts w:ascii="SimSun" w:hAnsi="SimSun"/>
                <w:b w:val="false"/>
                <w:i w:val="false"/>
                <w:color w:val="000000"/>
                <w:sz w:val="21"/>
              </w:rPr>
              <w:t>Museum Education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博物馆国际交流与合作</w:t>
            </w:r>
            <w:r>
              <w:br/>
            </w:r>
            <w:r>
              <w:rPr>
                <w:rFonts w:ascii="SimSun" w:hAnsi="SimSun"/>
                <w:b w:val="false"/>
                <w:i w:val="false"/>
                <w:color w:val="000000"/>
                <w:sz w:val="21"/>
              </w:rPr>
              <w:t>The International Work of Museums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中国绘画史</w:t>
            </w:r>
            <w:r>
              <w:br/>
            </w:r>
            <w:r>
              <w:rPr>
                <w:rFonts w:ascii="SimSun" w:hAnsi="SimSun"/>
                <w:b w:val="false"/>
                <w:i w:val="false"/>
                <w:color w:val="000000"/>
                <w:sz w:val="21"/>
              </w:rPr>
              <w:t>History of Chinese Paintings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中国青铜器</w:t>
            </w:r>
            <w:r>
              <w:br/>
            </w:r>
            <w:r>
              <w:rPr>
                <w:rFonts w:ascii="SimSun" w:hAnsi="SimSun"/>
                <w:b w:val="false"/>
                <w:i w:val="false"/>
                <w:color w:val="000000"/>
                <w:sz w:val="21"/>
              </w:rPr>
              <w:t>Chinese Bronzeware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中国陶瓷史</w:t>
            </w:r>
            <w:r>
              <w:br/>
            </w:r>
            <w:r>
              <w:rPr>
                <w:rFonts w:ascii="SimSun" w:hAnsi="SimSun"/>
                <w:b w:val="false"/>
                <w:i w:val="false"/>
                <w:color w:val="000000"/>
                <w:sz w:val="21"/>
              </w:rPr>
              <w:t>History of Chinese Ceramics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中国玉器</w:t>
            </w:r>
            <w:r>
              <w:br/>
            </w:r>
            <w:r>
              <w:rPr>
                <w:rFonts w:ascii="SimSun" w:hAnsi="SimSun"/>
                <w:b w:val="false"/>
                <w:i w:val="false"/>
                <w:color w:val="000000"/>
                <w:sz w:val="21"/>
              </w:rPr>
              <w:t>Chinese Jadeware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中国钱币学</w:t>
            </w:r>
            <w:r>
              <w:br/>
            </w:r>
            <w:r>
              <w:rPr>
                <w:rFonts w:ascii="SimSun" w:hAnsi="SimSun"/>
                <w:b w:val="false"/>
                <w:i w:val="false"/>
                <w:color w:val="000000"/>
                <w:sz w:val="21"/>
              </w:rPr>
              <w:t>China's Numismatics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文化遗产</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文化遗产管理与法规</w:t>
            </w:r>
            <w:r>
              <w:br/>
            </w:r>
            <w:r>
              <w:rPr>
                <w:rFonts w:ascii="SimSun" w:hAnsi="SimSun"/>
                <w:b w:val="false"/>
                <w:i w:val="false"/>
                <w:color w:val="000000"/>
                <w:sz w:val="21"/>
              </w:rPr>
              <w:t>Management and Regulation of Cultural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文化遗产类型</w:t>
            </w:r>
            <w:r>
              <w:br/>
            </w:r>
            <w:r>
              <w:rPr>
                <w:rFonts w:ascii="SimSun" w:hAnsi="SimSun"/>
                <w:b w:val="false"/>
                <w:i w:val="false"/>
                <w:color w:val="000000"/>
                <w:sz w:val="21"/>
              </w:rPr>
              <w:t>Introduction to Cultural Heritage Category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文物保护</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文物保护技术</w:t>
            </w:r>
            <w:r>
              <w:br/>
            </w:r>
            <w:r>
              <w:rPr>
                <w:rFonts w:ascii="SimSun" w:hAnsi="SimSun"/>
                <w:b w:val="false"/>
                <w:i w:val="false"/>
                <w:color w:val="000000"/>
                <w:sz w:val="21"/>
              </w:rPr>
              <w:t>Techniques of Cultural Relics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文物分析技术</w:t>
            </w:r>
            <w:r>
              <w:br/>
            </w:r>
            <w:r>
              <w:rPr>
                <w:rFonts w:ascii="SimSun" w:hAnsi="SimSun"/>
                <w:b w:val="false"/>
                <w:i w:val="false"/>
                <w:color w:val="000000"/>
                <w:sz w:val="21"/>
              </w:rPr>
              <w:t>Analyzing Techniques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文物修复</w:t>
            </w:r>
            <w:r>
              <w:br/>
            </w:r>
            <w:r>
              <w:rPr>
                <w:rFonts w:ascii="SimSun" w:hAnsi="SimSun"/>
                <w:b w:val="false"/>
                <w:i w:val="false"/>
                <w:color w:val="000000"/>
                <w:sz w:val="21"/>
              </w:rPr>
              <w:t>Restoration of Cultural Relics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5"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考古学</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旧石器时代考古</w:t>
            </w:r>
            <w:r>
              <w:br/>
            </w:r>
            <w:r>
              <w:rPr>
                <w:rFonts w:ascii="SimSun" w:hAnsi="SimSun"/>
                <w:b w:val="false"/>
                <w:i w:val="false"/>
                <w:color w:val="000000"/>
                <w:sz w:val="21"/>
              </w:rPr>
              <w:t>Paleolithic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新石器时代考古</w:t>
            </w:r>
            <w:r>
              <w:br/>
            </w:r>
            <w:r>
              <w:rPr>
                <w:rFonts w:ascii="SimSun" w:hAnsi="SimSun"/>
                <w:b w:val="false"/>
                <w:i w:val="false"/>
                <w:color w:val="000000"/>
                <w:sz w:val="21"/>
              </w:rPr>
              <w:t>Neolithic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夏商周考古</w:t>
            </w:r>
            <w:r>
              <w:br/>
            </w:r>
            <w:r>
              <w:rPr>
                <w:rFonts w:ascii="SimSun" w:hAnsi="SimSun"/>
                <w:b w:val="false"/>
                <w:i w:val="false"/>
                <w:color w:val="000000"/>
                <w:sz w:val="21"/>
              </w:rPr>
              <w:t>Archaeology of Xia, Shang and Zhou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汉唐考古</w:t>
            </w:r>
            <w:r>
              <w:br/>
            </w:r>
            <w:r>
              <w:rPr>
                <w:rFonts w:ascii="SimSun" w:hAnsi="SimSun"/>
                <w:b w:val="false"/>
                <w:i w:val="false"/>
                <w:color w:val="000000"/>
                <w:sz w:val="21"/>
              </w:rPr>
              <w:t>Archaeology of Han and Tang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宋元明考古</w:t>
            </w:r>
            <w:r>
              <w:br/>
            </w:r>
            <w:r>
              <w:rPr>
                <w:rFonts w:ascii="SimSun" w:hAnsi="SimSun"/>
                <w:b w:val="false"/>
                <w:i w:val="false"/>
                <w:color w:val="000000"/>
                <w:sz w:val="21"/>
              </w:rPr>
              <w:t>Archaeology of Song, Yuan and Ming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田野考古学</w:t>
            </w:r>
            <w:r>
              <w:br/>
            </w:r>
            <w:r>
              <w:rPr>
                <w:rFonts w:ascii="SimSun" w:hAnsi="SimSun"/>
                <w:b w:val="false"/>
                <w:i w:val="false"/>
                <w:color w:val="000000"/>
                <w:sz w:val="21"/>
              </w:rPr>
              <w:t>Field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田野考古技术</w:t>
            </w:r>
            <w:r>
              <w:br/>
            </w:r>
            <w:r>
              <w:rPr>
                <w:rFonts w:ascii="SimSun" w:hAnsi="SimSun"/>
                <w:b w:val="false"/>
                <w:i w:val="false"/>
                <w:color w:val="000000"/>
                <w:sz w:val="21"/>
              </w:rPr>
              <w:t>Field Archaeological Skills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世界考古概论</w:t>
            </w:r>
            <w:r>
              <w:br/>
            </w:r>
            <w:r>
              <w:rPr>
                <w:rFonts w:ascii="SimSun" w:hAnsi="SimSun"/>
                <w:b w:val="false"/>
                <w:i w:val="false"/>
                <w:color w:val="000000"/>
                <w:sz w:val="21"/>
              </w:rPr>
              <w:t>Introduction to World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AI考古理论与实践</w:t>
            </w:r>
            <w:r>
              <w:br/>
            </w:r>
            <w:r>
              <w:rPr>
                <w:rFonts w:ascii="SimSun" w:hAnsi="SimSun"/>
                <w:b w:val="false"/>
                <w:i w:val="false"/>
                <w:color w:val="000000"/>
                <w:sz w:val="21"/>
              </w:rPr>
              <w:t>Theoretical and Practical Applications of AI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考古统计学</w:t>
            </w:r>
            <w:r>
              <w:br/>
            </w:r>
            <w:r>
              <w:rPr>
                <w:rFonts w:ascii="SimSun" w:hAnsi="SimSun"/>
                <w:b w:val="false"/>
                <w:i w:val="false"/>
                <w:color w:val="000000"/>
                <w:sz w:val="21"/>
              </w:rPr>
              <w:t>Archaeological Statistics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田野考古实践训练</w:t>
            </w:r>
            <w:r>
              <w:br/>
            </w:r>
            <w:r>
              <w:rPr>
                <w:rFonts w:ascii="SimSun" w:hAnsi="SimSun"/>
                <w:b w:val="false"/>
                <w:i w:val="false"/>
                <w:color w:val="000000"/>
                <w:sz w:val="21"/>
              </w:rPr>
              <w:t>Field Archaeology Practical Training</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ARCH30015</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专业进阶模块II（15学分）
      </w:t>
      </w:r>
    </w:p>
    <w:tbl>
      <w:tblPr>
        <w:tblW w:w="0" w:type="auto"/>
        <w:tblCellSpacing w:w="0" w:type="auto"/>
        <w:tblBorders>
          <w:top w:val="none"/>
          <w:left w:val="none"/>
          <w:bottom w:val="none"/>
          <w:right w:val="none"/>
          <w:insideH w:val="none"/>
          <w:insideV w:val="none"/>
        </w:tblBorders>
      </w:tblPr>
      <w:tblGrid>
        <w:gridCol w:w="2033"/>
        <w:gridCol w:w="2724"/>
        <w:gridCol w:w="680"/>
        <w:gridCol w:w="681"/>
        <w:gridCol w:w="950"/>
        <w:gridCol w:w="1538"/>
        <w:gridCol w:w="680"/>
        <w:gridCol w:w="680"/>
        <w:gridCol w:w="680"/>
        <w:gridCol w:w="679"/>
        <w:gridCol w:w="951"/>
        <w:gridCol w:w="1358"/>
      </w:tblGrid>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博物馆学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儿童博物馆概论</w:t>
            </w:r>
            <w:r>
              <w:br/>
            </w:r>
            <w:r>
              <w:rPr>
                <w:rFonts w:ascii="SimSun" w:hAnsi="SimSun"/>
                <w:b w:val="false"/>
                <w:i w:val="false"/>
                <w:color w:val="000000"/>
                <w:sz w:val="21"/>
              </w:rPr>
              <w:t>Introduction to Children’s Museum</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博物馆展览说明文字研究</w:t>
            </w:r>
            <w:r>
              <w:br/>
            </w:r>
            <w:r>
              <w:rPr>
                <w:rFonts w:ascii="SimSun" w:hAnsi="SimSun"/>
                <w:b w:val="false"/>
                <w:i w:val="false"/>
                <w:color w:val="000000"/>
                <w:sz w:val="21"/>
              </w:rPr>
              <w:t>Introduction to Exhibit Labels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自然博物馆理论与实务</w:t>
            </w:r>
            <w:r>
              <w:br/>
            </w:r>
            <w:r>
              <w:rPr>
                <w:rFonts w:ascii="SimSun" w:hAnsi="SimSun"/>
                <w:b w:val="false"/>
                <w:i w:val="false"/>
                <w:color w:val="000000"/>
                <w:sz w:val="21"/>
              </w:rPr>
              <w:t>The Natural History Museum in Theory and Practice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MUSE30008</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中国墓葬艺术导论</w:t>
            </w:r>
            <w:r>
              <w:br/>
            </w:r>
            <w:r>
              <w:rPr>
                <w:rFonts w:ascii="SimSun" w:hAnsi="SimSun"/>
                <w:b w:val="false"/>
                <w:i w:val="false"/>
                <w:color w:val="000000"/>
                <w:sz w:val="21"/>
              </w:rPr>
              <w:t>History of Chinese Funerary Art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中国古典园林史</w:t>
            </w:r>
            <w:r>
              <w:br/>
            </w:r>
            <w:r>
              <w:rPr>
                <w:rFonts w:ascii="SimSun" w:hAnsi="SimSun"/>
                <w:b w:val="false"/>
                <w:i w:val="false"/>
                <w:color w:val="000000"/>
                <w:sz w:val="21"/>
              </w:rPr>
              <w:t>Development History of Traditional Chinese Gardens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中国古代青瓷</w:t>
            </w:r>
            <w:r>
              <w:br/>
            </w:r>
            <w:r>
              <w:rPr>
                <w:rFonts w:ascii="SimSun" w:hAnsi="SimSun"/>
                <w:b w:val="false"/>
                <w:i w:val="false"/>
                <w:color w:val="000000"/>
                <w:sz w:val="21"/>
              </w:rPr>
              <w:t>Ancient Chinese Celadon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中国漆器史</w:t>
            </w:r>
            <w:r>
              <w:br/>
            </w:r>
            <w:r>
              <w:rPr>
                <w:rFonts w:ascii="SimSun" w:hAnsi="SimSun"/>
                <w:b w:val="false"/>
                <w:i w:val="false"/>
                <w:color w:val="000000"/>
                <w:sz w:val="21"/>
              </w:rPr>
              <w:t>History of Chinese Lacquerware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文化遗产</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中国古代建筑史</w:t>
            </w:r>
            <w:r>
              <w:br/>
            </w:r>
            <w:r>
              <w:rPr>
                <w:rFonts w:ascii="SimSun" w:hAnsi="SimSun"/>
                <w:b w:val="false"/>
                <w:i w:val="false"/>
                <w:color w:val="000000"/>
                <w:sz w:val="21"/>
              </w:rPr>
              <w:t>History of Architectural Development in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世界遗产概论</w:t>
            </w:r>
            <w:r>
              <w:br/>
            </w:r>
            <w:r>
              <w:rPr>
                <w:rFonts w:ascii="SimSun" w:hAnsi="SimSun"/>
                <w:b w:val="false"/>
                <w:i w:val="false"/>
                <w:color w:val="000000"/>
                <w:sz w:val="21"/>
              </w:rPr>
              <w:t>Introduction to World Heritage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CULT30021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文物保护</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中国科技史概论</w:t>
            </w:r>
            <w:r>
              <w:br/>
            </w:r>
            <w:r>
              <w:rPr>
                <w:rFonts w:ascii="SimSun" w:hAnsi="SimSun"/>
                <w:b w:val="false"/>
                <w:i w:val="false"/>
                <w:color w:val="000000"/>
                <w:sz w:val="21"/>
              </w:rPr>
              <w:t>Introduction to History of Science and Technology in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考古学</w:t>
            </w:r>
            <w:r>
              <w:rPr>
                <w:rFonts w:ascii="SimSun" w:hAnsi="SimSun"/>
                <w:b w:val="false"/>
                <w:i w:val="false"/>
                <w:color w:val="000000"/>
                <w:sz w:val="21"/>
              </w:rPr>
              <w:t xml:space="preserve">
                      </w:t>
            </w: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考古学思想史</w:t>
            </w:r>
            <w:r>
              <w:br/>
            </w:r>
            <w:r>
              <w:rPr>
                <w:rFonts w:ascii="SimSun" w:hAnsi="SimSun"/>
                <w:b w:val="false"/>
                <w:i w:val="false"/>
                <w:color w:val="000000"/>
                <w:sz w:val="21"/>
              </w:rPr>
              <w:t>History of Archaeological Thought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东亚史前考古</w:t>
            </w:r>
            <w:r>
              <w:br/>
            </w:r>
            <w:r>
              <w:rPr>
                <w:rFonts w:ascii="SimSun" w:hAnsi="SimSun"/>
                <w:b w:val="false"/>
                <w:i w:val="false"/>
                <w:color w:val="000000"/>
                <w:sz w:val="21"/>
              </w:rPr>
              <w:t>Prehistory in East Asia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ARCH30009</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动物考古学</w:t>
            </w:r>
            <w:r>
              <w:br/>
            </w:r>
            <w:r>
              <w:rPr>
                <w:rFonts w:ascii="SimSun" w:hAnsi="SimSun"/>
                <w:b w:val="false"/>
                <w:i w:val="false"/>
                <w:color w:val="000000"/>
                <w:sz w:val="21"/>
              </w:rPr>
              <w:t>Zooarchaeology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植物考古学</w:t>
            </w:r>
            <w:r>
              <w:br/>
            </w:r>
            <w:r>
              <w:rPr>
                <w:rFonts w:ascii="SimSun" w:hAnsi="SimSun"/>
                <w:b w:val="false"/>
                <w:i w:val="false"/>
                <w:color w:val="000000"/>
                <w:sz w:val="21"/>
              </w:rPr>
              <w:t>Palaeoethnobotany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w:t>
            </w:r>
            <w:r>
              <w:br/>
            </w:r>
            <w:r>
              <w:rPr>
                <w:rFonts w:ascii="SimSun" w:hAnsi="SimSun"/>
                <w:b w:val="false"/>
                <w:i w:val="false"/>
                <w:color w:val="000000"/>
                <w:sz w:val="21"/>
              </w:rPr>
              <w:t>Ceramic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饮食考古</w:t>
            </w:r>
            <w:r>
              <w:br/>
            </w:r>
            <w:r>
              <w:rPr>
                <w:rFonts w:ascii="SimSun" w:hAnsi="SimSun"/>
                <w:b w:val="false"/>
                <w:i w:val="false"/>
                <w:color w:val="000000"/>
                <w:sz w:val="21"/>
              </w:rPr>
              <w:t>Archaeology of Food</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分子考古学</w:t>
            </w:r>
            <w:r>
              <w:br/>
            </w:r>
            <w:r>
              <w:rPr>
                <w:rFonts w:ascii="SimSun" w:hAnsi="SimSun"/>
                <w:b w:val="false"/>
                <w:i w:val="false"/>
                <w:color w:val="000000"/>
                <w:sz w:val="21"/>
              </w:rPr>
              <w:t>Molecular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ARCH40007</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体质人类学</w:t>
            </w:r>
            <w:r>
              <w:br/>
            </w:r>
            <w:r>
              <w:rPr>
                <w:rFonts w:ascii="SimSun" w:hAnsi="SimSun"/>
                <w:b w:val="false"/>
                <w:i w:val="false"/>
                <w:color w:val="000000"/>
                <w:sz w:val="21"/>
              </w:rPr>
              <w:t>Physical Anthropology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w:t>
            </w:r>
            <w:r>
              <w:br/>
            </w:r>
            <w:r>
              <w:rPr>
                <w:rFonts w:ascii="SimSun" w:hAnsi="SimSun"/>
                <w:b w:val="false"/>
                <w:i w:val="false"/>
                <w:color w:val="000000"/>
                <w:sz w:val="21"/>
              </w:rPr>
              <w:t>Isotope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农业考古</w:t>
            </w:r>
            <w:r>
              <w:br/>
            </w:r>
            <w:r>
              <w:rPr>
                <w:rFonts w:ascii="SimSun" w:hAnsi="SimSun"/>
                <w:b w:val="false"/>
                <w:i w:val="false"/>
                <w:color w:val="000000"/>
                <w:sz w:val="21"/>
              </w:rPr>
              <w:t>Agricultural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石窟寺考古</w:t>
            </w:r>
            <w:r>
              <w:br/>
            </w:r>
            <w:r>
              <w:rPr>
                <w:rFonts w:ascii="SimSun" w:hAnsi="SimSun"/>
                <w:b w:val="false"/>
                <w:i w:val="false"/>
                <w:color w:val="000000"/>
                <w:sz w:val="21"/>
              </w:rPr>
              <w:t>Grotto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w:t>
            </w:r>
            <w:r>
              <w:br/>
            </w:r>
            <w:r>
              <w:rPr>
                <w:rFonts w:ascii="SimSun" w:hAnsi="SimSun"/>
                <w:b w:val="false"/>
                <w:i w:val="false"/>
                <w:color w:val="000000"/>
                <w:sz w:val="21"/>
              </w:rPr>
              <w:t>Public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冶金考古</w:t>
            </w:r>
            <w:r>
              <w:br/>
            </w:r>
            <w:r>
              <w:rPr>
                <w:rFonts w:ascii="SimSun" w:hAnsi="SimSun"/>
                <w:b w:val="false"/>
                <w:i w:val="false"/>
                <w:color w:val="000000"/>
                <w:sz w:val="21"/>
              </w:rPr>
              <w:t>Archaeometallurgy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环境考古学</w:t>
            </w:r>
            <w:r>
              <w:br/>
            </w:r>
            <w:r>
              <w:rPr>
                <w:rFonts w:ascii="SimSun" w:hAnsi="SimSun"/>
                <w:b w:val="false"/>
                <w:i w:val="false"/>
                <w:color w:val="000000"/>
                <w:sz w:val="21"/>
              </w:rPr>
              <w:t>Environmental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古人类学</w:t>
            </w:r>
            <w:r>
              <w:br/>
            </w:r>
            <w:r>
              <w:rPr>
                <w:rFonts w:ascii="SimSun" w:hAnsi="SimSun"/>
                <w:b w:val="false"/>
                <w:i w:val="false"/>
                <w:color w:val="000000"/>
                <w:sz w:val="21"/>
              </w:rPr>
              <w:t>Paleoanthropology</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ARCH30004</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在专业进阶路径基础上，荣誉项目课程设置和修读要求请见文物与博物馆学系本科“荣誉项目”实施方案。下载地址：https://jwc.fudan.edu.cn/（复旦大学教务处）专业培养-常用文档。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跨学科发展路径（30学分）
      </w:t>
      </w:r>
    </w:p>
    <w:p>
      <w:pPr>
        <w:spacing w:after="0"/>
        <w:ind w:left="0"/>
        <w:jc w:val="left"/>
      </w:pPr>
      <w:r>
        <w:rPr>
          <w:rFonts w:ascii="SimSun" w:hAnsi="SimSun"/>
          <w:b w:val="false"/>
          <w:i w:val="false"/>
          <w:color w:val="000000"/>
          <w:sz w:val="21"/>
        </w:rPr>
        <w:t xml:space="preserve">
       修满30学分。要求修读2个非本专业独立开设的微专业（学程），学分不足部分可在全校所有本科生课程中任意选修。微专业（学程）课程详见教务处微专业项目网页。 
      </w:t>
      </w:r>
    </w:p>
    <w:p>
      <w:pPr>
        <w:spacing w:after="0"/>
        <w:ind w:left="0"/>
        <w:jc w:val="left"/>
      </w:pPr>
      <w:r>
        <w:rPr>
          <w:rFonts w:ascii="SimSun" w:hAnsi="SimSun"/>
          <w:b/>
          <w:i w:val="false"/>
          <w:color w:val="000000"/>
          <w:sz w:val="21"/>
        </w:rPr>
        <w:t xml:space="preserve">
       4.  创新创业路径（30学分）
      </w:t>
      </w:r>
    </w:p>
    <w:p>
      <w:pPr>
        <w:spacing w:after="0"/>
        <w:ind w:left="0"/>
        <w:jc w:val="left"/>
      </w:pPr>
      <w:r>
        <w:rPr>
          <w:rFonts w:ascii="SimSun" w:hAnsi="SimSun"/>
          <w:b w:val="false"/>
          <w:i w:val="false"/>
          <w:color w:val="000000"/>
          <w:sz w:val="21"/>
        </w:rPr>
        <w:t xml:space="preserve">
       修满30学分。要求修读1个创新创业学院开设的创新创业微专业（学程），以及1个非本专业独立开设的微专业（学程）。修读学分不足部分可在全校所有本科生课程中任意选修。创新创业微专业（学程）课程详见教务处网页。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要求修读本专业进阶课程15学分和1个辅修学士学位项目，辅修学士学位应与主修学士学位归属不同的本科专业大类。辅修学士学位项目课程设置详见教务处辅修学士学位项目网页。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融合创新能力（17学分）
      </w:t>
      </w:r>
    </w:p>
    <w:p>
      <w:pPr>
        <w:spacing w:after="0"/>
        <w:ind w:left="0"/>
        <w:jc w:val="left"/>
      </w:pPr>
      <w:r>
        <w:rPr>
          <w:rFonts w:ascii="SimSun" w:hAnsi="SimSun"/>
          <w:b w:val="false"/>
          <w:i w:val="false"/>
          <w:color w:val="000000"/>
          <w:sz w:val="21"/>
        </w:rPr>
        <w:t xml:space="preserve">
       需完成至少17学分（必修13学分，选修4学分）。
      </w:t>
      </w:r>
    </w:p>
    <w:tbl>
      <w:tblPr>
        <w:tblW w:w="0" w:type="auto"/>
        <w:tblCellSpacing w:w="0" w:type="auto"/>
        <w:tblBorders>
          <w:top w:val="none"/>
          <w:left w:val="none"/>
          <w:bottom w:val="none"/>
          <w:right w:val="none"/>
          <w:insideH w:val="none"/>
          <w:insideV w:val="none"/>
        </w:tblBorders>
      </w:tblPr>
      <w:tblGrid>
        <w:gridCol w:w="3203"/>
        <w:gridCol w:w="800"/>
        <w:gridCol w:w="809"/>
        <w:gridCol w:w="1121"/>
        <w:gridCol w:w="1776"/>
        <w:gridCol w:w="800"/>
        <w:gridCol w:w="800"/>
        <w:gridCol w:w="800"/>
        <w:gridCol w:w="800"/>
        <w:gridCol w:w="1122"/>
        <w:gridCol w:w="1603"/>
      </w:tblGrid>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前沿讲座</w:t>
            </w:r>
            <w:r>
              <w:br/>
            </w:r>
            <w:r>
              <w:rPr>
                <w:rFonts w:ascii="SimSun" w:hAnsi="SimSun"/>
                <w:b w:val="false"/>
                <w:i w:val="false"/>
                <w:color w:val="000000"/>
                <w:sz w:val="21"/>
              </w:rPr>
              <w:t>Frontier Lectures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不少于10场，需提交学习报告。</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文物学科研实践（根据实际由教师招募）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文化遗产保护实践（根据实际由教师招募）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文物保护实验训练（根据实际由教师招募）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科研实践Ⅳ</w:t>
            </w:r>
            <w:r>
              <w:br/>
            </w:r>
            <w:r>
              <w:rPr>
                <w:rFonts w:ascii="SimSun" w:hAnsi="SimSun"/>
                <w:b w:val="false"/>
                <w:i w:val="false"/>
                <w:color w:val="000000"/>
                <w:sz w:val="21"/>
              </w:rPr>
              <w:t>Research Practice IV</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田野考古提升训练（根据实际由教师招募）</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鼓励学生承担复芏计划（FDUROP）项目，详见复旦大学本科生学术研究资助计划管理办法。</w:t>
            </w: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ARCH30006</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ARCH30008</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ARCH40004</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纸质文物修复</w:t>
            </w:r>
            <w:r>
              <w:br/>
            </w:r>
            <w:r>
              <w:rPr>
                <w:rFonts w:ascii="SimSun" w:hAnsi="SimSun"/>
                <w:b w:val="false"/>
                <w:i w:val="false"/>
                <w:color w:val="000000"/>
                <w:sz w:val="21"/>
              </w:rPr>
              <w:t>Restoration of Paper</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CULT30013</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古陶瓷修复</w:t>
            </w:r>
            <w:r>
              <w:br/>
            </w:r>
            <w:r>
              <w:rPr>
                <w:rFonts w:ascii="SimSun" w:hAnsi="SimSun"/>
                <w:b w:val="false"/>
                <w:i w:val="false"/>
                <w:color w:val="000000"/>
                <w:sz w:val="21"/>
              </w:rPr>
              <w:t>Restoration of Ancient Ceramics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CULT30014</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