
<file path=[Content_Types].xml><?xml version="1.0" encoding="utf-8"?>
<Types xmlns="http://schemas.openxmlformats.org/package/2006/content-types">
  <Default Extension="jpeg" ContentType="image/jpeg"/>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文物与博物馆学系</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2026考古学-考古学本博融通培养方案（考古学博雅班）</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 xml:space="preserve">    复旦大学文物与博物馆学系是国内创办时间最长、影响最大的文博教学与科研机构之一，是全国文物、博物馆专业学位研究生教育指导委员会秘书处单位，拥有40多年的学科发展史，并下设博物馆学、考古学、文化遗产（包括文物学、文物保护）三大方向。文物与博物馆学专业是国家级一流本科专业建设点，近年来，已形成了“考古发掘研究”“文化遗产保护管理”“博物馆阐释传播利用”的“三位一体”式发展格局。文物与博物馆学系拥有10多个教学与科研平台、1个国际级教席、1项国家级考古发掘资质，旗下的复旦大学科技考古研究院拥有近10个实验室，是学校双一流建设规划重点项目。</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 xml:space="preserve">    按照“宽口径、厚基础、重能力、求创新”的人才培养要求，以“2+X+Y”（2是通识和专业教育，X是多元发展路径，Y为融合创新能力）为途径，培养适应社会主义现代化建设和科技发展，德智体美劳全面发展，既掌握考古学理论方法、断代考古常识、田野考古操作技能，又具备数学、物理、化学、生物以及AI、编程等理工科基础知识并能将其熟练应用于科技考古研究诸领域的新型考古学文理交叉人才。学生应具有良好的思想道德素质和科学的世界观，具有人文情怀，具备突出的科学素养与创新思维、开阔的国际视野和跨文化环境下的交流与合作能力，能够服务国家重大战略需求。博士毕业时，具有独立从事科学研究的能力和严谨求实的科学态度和作风，在一个或几个国际前沿方向中有较深入的研究，并取得创造性的成果，成为能适应国家文博事业发展、专业领域需求的高级专门人才。</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 xml:space="preserve">    掌握马克思主义的基本原理和优良的外语听说读写能力；熟悉中国考古学的发展历程和研究现状，能够将考古学的基本理论方法融会贯通，具备从事田野考古发掘、资料整理与考古报告编写能力；掌握与考古学联系最为紧密的数学、物理、化学、生物学、AI、编程等理工科基础知识，了解国内外科技考古领域的理论前沿和发展动向；掌握文献检索、资料查询的基本方法和手段；具备从事考古学，尤其是科技考古及其交叉领域研究的能力和学术素养。</w:t>
      </w:r>
    </w:p>
    <w:p>
      <w:pPr>
        <w:spacing w:after="0"/>
        <w:ind w:left="0"/>
        <w:jc w:val="left"/>
      </w:pPr>
      <w:r>
        <w:drawing>
          <wp:inline distT="0" distB="0" distL="0" distR="0">
            <wp:extent cx="5732145" cy="213424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2134241"/>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r>
        <w:rPr>
          <w:rFonts w:ascii="SimSun" w:hAnsi="SimSun"/>
          <w:b w:val="false"/>
          <w:i w:val="false"/>
          <w:color w:val="000000"/>
          <w:sz w:val="21"/>
        </w:rPr>
        <w:t>（具体执行需按照学校管理规定和文物与博物馆学系教学指导委员会说明。）</w:t>
      </w:r>
    </w:p>
    <w:p>
      <w:pPr>
        <w:spacing w:after="0"/>
        <w:ind w:left="0"/>
        <w:jc w:val="left"/>
      </w:pPr>
    </w:p>
    <w:p>
      <w:pPr>
        <w:spacing w:after="0"/>
        <w:ind w:left="0"/>
        <w:jc w:val="left"/>
      </w:pPr>
      <w:r>
        <w:rPr>
          <w:rFonts w:ascii="SimSun" w:hAnsi="SimSun"/>
          <w:b w:val="false"/>
          <w:i w:val="false"/>
          <w:color w:val="000000"/>
          <w:sz w:val="21"/>
        </w:rPr>
        <w:t xml:space="preserve">
       1.修业年限：8年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面试成绩25%</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学业成绩：已修读课程的加权平均值；
面试内容：专业学习情况、综合评价（竞赛、比赛、科研实践情况等内容）；                                                       其他：笔试：考古学综合</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其他25%</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通过笔试进行考核。科目：参考博士生资格考试要求。 第一次博资考在5年级末，第一次不通过者，第二次在6年级末进行，两次不通过者分流至学术硕士培养。</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其他100%</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完成4年本科阶段培养方案，获得学士学位</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学术硕士培养方案（本博通道主动退出或考核不通过者在原有基础上增加两年的学硕学习阶段）</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面试内容：专业学习情况、综合评价（竞赛、比赛、科研实践情况等内容）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 %</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132</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通识教育课程41学分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专业培养课程65学分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任意选修学分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专业进阶模块15学分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融合创新能力实践模块5学分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融合创新能力实训模块6学分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博士生学段</w:t>
            </w:r>
          </w:p>
        </w:tc>
        <w:tc>
          <w:tcPr>
            <w:tcW w:w="204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8年级</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历史学博士</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w:t>
            </w: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☑按照“2+X+Y”本博融通培养方案进行毕业审核   </w:t>
            </w:r>
          </w:p>
        </w:tc>
      </w:tr>
    </w:tbl>
    <w:p>
      <w:pPr>
        <w:spacing w:after="0"/>
        <w:ind w:left="0"/>
        <w:jc w:val="left"/>
      </w:pPr>
      <w:r>
        <w:rPr>
          <w:rFonts w:ascii="SimSun" w:hAnsi="SimSun"/>
          <w:b/>
          <w:i w:val="false"/>
          <w:color w:val="000000"/>
          <w:sz w:val="24"/>
        </w:rPr>
        <w:t xml:space="preserve">
       五.    学分要求
      </w:t>
      </w:r>
    </w:p>
    <w:p>
      <w:pPr>
        <w:spacing w:after="0"/>
        <w:ind w:left="0"/>
        <w:jc w:val="left"/>
      </w:pPr>
      <w:r>
        <w:drawing>
          <wp:inline distT="0" distB="0" distL="0" distR="0">
            <wp:extent cx="5732145" cy="2212407"/>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2212407"/>
                    </a:xfrm>
                    <a:prstGeom prst="rect">
                      <a:avLst/>
                    </a:prstGeom>
                  </pic:spPr>
                </pic:pic>
              </a:graphicData>
            </a:graphic>
          </wp:inline>
        </w:drawing>
      </w:r>
    </w:p>
    <w:p>
      <w:pPr>
        <w:spacing w:after="0"/>
        <w:ind w:left="0"/>
        <w:jc w:val="left"/>
      </w:pPr>
      <w:r>
        <w:rPr>
          <w:rFonts w:ascii="SimSun" w:hAnsi="SimSun"/>
          <w:b w:val="false"/>
          <w:i w:val="false"/>
          <w:color w:val="000000"/>
          <w:sz w:val="21"/>
        </w:rPr>
        <w:t>1、 本研融通专业进阶路径：157学分</w:t>
      </w:r>
    </w:p>
    <w:p>
      <w:pPr>
        <w:spacing w:after="0"/>
        <w:ind w:left="0"/>
        <w:jc w:val="left"/>
      </w:pPr>
      <w:r>
        <w:rPr>
          <w:rFonts w:ascii="SimSun" w:hAnsi="SimSun"/>
          <w:b w:val="false"/>
          <w:i w:val="false"/>
          <w:color w:val="000000"/>
          <w:sz w:val="21"/>
        </w:rPr>
        <w:t xml:space="preserve">   学生本博期间必须修满教学计划规定的157学分，包括通识教育课程45学分、专业培养课65学分、专业进阶模块I 20学分（研究生课程不少于10学分）、专业进阶模块II 10学分、融合创新能力模块17学分的修读。</w:t>
      </w:r>
    </w:p>
    <w:p>
      <w:pPr>
        <w:spacing w:after="0"/>
        <w:ind w:left="0"/>
        <w:jc w:val="left"/>
      </w:pPr>
      <w:r>
        <w:rPr>
          <w:rFonts w:ascii="SimSun" w:hAnsi="SimSun"/>
          <w:b w:val="false"/>
          <w:i w:val="false"/>
          <w:color w:val="000000"/>
          <w:sz w:val="21"/>
        </w:rPr>
        <w:t xml:space="preserve">   其中，本科学段需要完成132学分（含实践学分不低于20学分；含美育学分不少于2学分，其中至少在“美学和艺术史论类”或“艺术鉴赏和评论类”课程中修读1学分，并至少参与一项艺术实践活动；劳动教育不少于32学时，并满足劳动周教育要求），包括通识教育课程41学分、专业培养课程65学分、专业进阶模块修读15学分、融合创新能力模块11学分。   </w:t>
      </w:r>
    </w:p>
    <w:p>
      <w:pPr>
        <w:spacing w:after="0"/>
        <w:ind w:left="0"/>
        <w:jc w:val="left"/>
      </w:pPr>
      <w:r>
        <w:rPr>
          <w:rFonts w:ascii="SimSun" w:hAnsi="SimSun"/>
          <w:b w:val="false"/>
          <w:i w:val="false"/>
          <w:color w:val="000000"/>
          <w:sz w:val="21"/>
        </w:rPr>
        <w:t>2、荣誉项目</w:t>
      </w:r>
    </w:p>
    <w:p>
      <w:pPr>
        <w:spacing w:after="0"/>
        <w:ind w:left="0"/>
        <w:jc w:val="left"/>
      </w:pPr>
      <w:r>
        <w:rPr>
          <w:rFonts w:ascii="SimSun" w:hAnsi="SimSun"/>
          <w:b w:val="false"/>
          <w:i w:val="false"/>
          <w:color w:val="000000"/>
          <w:sz w:val="21"/>
        </w:rPr>
        <w:t xml:space="preserve">   本科学段按其相应修读要求。荣誉项目课程设置和修读要求请见文物与博物馆学系“本科荣誉项目”实施方案。</w:t>
      </w:r>
    </w:p>
    <w:p>
      <w:pPr>
        <w:spacing w:after="0"/>
        <w:ind w:left="0"/>
        <w:jc w:val="left"/>
      </w:pPr>
      <w:r>
        <w:rPr>
          <w:rFonts w:ascii="SimSun" w:hAnsi="SimSun"/>
          <w:b w:val="false"/>
          <w:i w:val="false"/>
          <w:color w:val="000000"/>
          <w:sz w:val="21"/>
        </w:rPr>
        <w:t>3、跨学科发展路径：172学分</w:t>
      </w:r>
    </w:p>
    <w:p>
      <w:pPr>
        <w:spacing w:after="0"/>
        <w:ind w:left="0"/>
        <w:jc w:val="left"/>
      </w:pPr>
      <w:r>
        <w:rPr>
          <w:rFonts w:ascii="SimSun" w:hAnsi="SimSun"/>
          <w:b w:val="false"/>
          <w:i w:val="false"/>
          <w:color w:val="000000"/>
          <w:sz w:val="21"/>
        </w:rPr>
        <w:t xml:space="preserve">   在专业进阶路径或荣誉项目基础上，修读1个非本专业独立开设的微专业（学程）。</w:t>
      </w:r>
    </w:p>
    <w:p>
      <w:pPr>
        <w:spacing w:after="0"/>
        <w:ind w:left="0"/>
        <w:jc w:val="left"/>
      </w:pPr>
      <w:r>
        <w:rPr>
          <w:rFonts w:ascii="SimSun" w:hAnsi="SimSun"/>
          <w:b w:val="false"/>
          <w:i w:val="false"/>
          <w:color w:val="000000"/>
          <w:sz w:val="21"/>
        </w:rPr>
        <w:t>4、辅修学士学位路径：197学分</w:t>
      </w:r>
    </w:p>
    <w:p>
      <w:pPr>
        <w:spacing w:after="0"/>
        <w:ind w:left="0"/>
        <w:jc w:val="left"/>
      </w:pPr>
      <w:r>
        <w:rPr>
          <w:rFonts w:ascii="SimSun" w:hAnsi="SimSun"/>
          <w:b w:val="false"/>
          <w:i w:val="false"/>
          <w:color w:val="000000"/>
          <w:sz w:val="21"/>
        </w:rPr>
        <w:t xml:space="preserve">   在专业进阶路径或荣誉项目基础上，修读1个辅修学士学位项目，具体要求见教务处辅修学士学位项目网页。</w:t>
      </w:r>
    </w:p>
    <w:p>
      <w:pPr>
        <w:spacing w:after="0"/>
        <w:ind w:left="0"/>
        <w:jc w:val="left"/>
      </w:pPr>
      <w:r>
        <w:rPr>
          <w:rFonts w:ascii="SimSun" w:hAnsi="SimSun"/>
          <w:b w:val="false"/>
          <w:i w:val="false"/>
          <w:color w:val="000000"/>
          <w:sz w:val="21"/>
        </w:rPr>
        <w:t>5、创新创业路径：172学分</w:t>
      </w:r>
    </w:p>
    <w:p>
      <w:pPr>
        <w:spacing w:after="0"/>
        <w:ind w:left="0"/>
        <w:jc w:val="left"/>
      </w:pPr>
      <w:r>
        <w:rPr>
          <w:rFonts w:ascii="SimSun" w:hAnsi="SimSun"/>
          <w:b w:val="false"/>
          <w:i w:val="false"/>
          <w:color w:val="000000"/>
          <w:sz w:val="21"/>
        </w:rPr>
        <w:t xml:space="preserve">   在专业进阶路径或荣誉项目基础上，修读1个创新创业学院开设的创新创业微专业（学程）。</w:t>
      </w:r>
    </w:p>
    <w:p>
      <w:pPr>
        <w:spacing w:after="0"/>
        <w:ind w:left="0"/>
        <w:jc w:val="left"/>
      </w:pPr>
      <w:r>
        <w:br/>
      </w:r>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（一）本科学位</w:t>
      </w:r>
    </w:p>
    <w:p>
      <w:pPr>
        <w:spacing w:after="0"/>
        <w:ind w:left="0"/>
        <w:jc w:val="left"/>
      </w:pPr>
      <w:r>
        <w:rPr>
          <w:rFonts w:ascii="SimSun" w:hAnsi="SimSun"/>
          <w:b w:val="false"/>
          <w:i w:val="false"/>
          <w:color w:val="000000"/>
          <w:sz w:val="21"/>
        </w:rPr>
        <w:t>1. 4年级结束时，如达到学士学位要求者授予历史学学士学位。</w:t>
      </w:r>
    </w:p>
    <w:p>
      <w:pPr>
        <w:spacing w:after="0"/>
        <w:ind w:left="0"/>
        <w:jc w:val="left"/>
      </w:pPr>
      <w:r>
        <w:rPr>
          <w:rFonts w:ascii="SimSun" w:hAnsi="SimSun"/>
          <w:b w:val="false"/>
          <w:i w:val="false"/>
          <w:color w:val="000000"/>
          <w:sz w:val="21"/>
        </w:rPr>
        <w:t>（1）修满规定的学分，达到本科教学培养方案规定的各项要求。</w:t>
      </w:r>
    </w:p>
    <w:p>
      <w:pPr>
        <w:spacing w:after="0"/>
        <w:ind w:left="0"/>
        <w:jc w:val="left"/>
      </w:pPr>
      <w:r>
        <w:rPr>
          <w:rFonts w:ascii="SimSun" w:hAnsi="SimSun"/>
          <w:b w:val="false"/>
          <w:i w:val="false"/>
          <w:color w:val="000000"/>
          <w:sz w:val="21"/>
        </w:rPr>
        <w:t>（2）以符合学生毕业时所在专业教学培养方案规定的所有课程的有效成绩为准计算平均绩点，且此平均绩点大于或等于2.0。</w:t>
      </w:r>
    </w:p>
    <w:p>
      <w:pPr>
        <w:spacing w:after="0"/>
        <w:ind w:left="0"/>
        <w:jc w:val="left"/>
      </w:pPr>
      <w:r>
        <w:rPr>
          <w:rFonts w:ascii="SimSun" w:hAnsi="SimSun"/>
          <w:b w:val="false"/>
          <w:i w:val="false"/>
          <w:color w:val="000000"/>
          <w:sz w:val="21"/>
        </w:rPr>
        <w:t>（3）在此基础上，达到文博系“本科荣誉证书”获得条件的授予“本科荣誉证书”，具体要求请见文博系“荣誉项目”实施方案。</w:t>
      </w:r>
    </w:p>
    <w:p>
      <w:pPr>
        <w:spacing w:after="0"/>
        <w:ind w:left="0"/>
        <w:jc w:val="left"/>
      </w:pPr>
      <w:r>
        <w:rPr>
          <w:rFonts w:ascii="SimSun" w:hAnsi="SimSun"/>
          <w:b w:val="false"/>
          <w:i w:val="false"/>
          <w:color w:val="000000"/>
          <w:sz w:val="21"/>
        </w:rPr>
        <w:t>2. 本科学段主动退出和转段考核不合格退出本博融通计划的学生，需按照相应的本科培养方案修读课程，如达到学士学位要求者授予历史学学士学位。</w:t>
      </w:r>
    </w:p>
    <w:p>
      <w:pPr>
        <w:spacing w:after="0"/>
        <w:ind w:left="0"/>
        <w:jc w:val="left"/>
      </w:pPr>
    </w:p>
    <w:p>
      <w:pPr>
        <w:spacing w:after="0"/>
        <w:ind w:left="0"/>
        <w:jc w:val="left"/>
      </w:pPr>
      <w:r>
        <w:rPr>
          <w:rFonts w:ascii="SimSun" w:hAnsi="SimSun"/>
          <w:b w:val="false"/>
          <w:i w:val="false"/>
          <w:color w:val="000000"/>
          <w:sz w:val="21"/>
        </w:rPr>
        <w:t>（二）研究生学位</w:t>
      </w:r>
    </w:p>
    <w:p>
      <w:pPr>
        <w:spacing w:after="0"/>
        <w:ind w:left="0"/>
        <w:jc w:val="left"/>
      </w:pPr>
      <w:r>
        <w:rPr>
          <w:rFonts w:ascii="SimSun" w:hAnsi="SimSun"/>
          <w:b w:val="false"/>
          <w:i w:val="false"/>
          <w:color w:val="000000"/>
          <w:sz w:val="21"/>
        </w:rPr>
        <w:t>1. 达到博士学位要求者授予历史学博士学位。</w:t>
      </w:r>
    </w:p>
    <w:p>
      <w:pPr>
        <w:spacing w:after="0"/>
        <w:ind w:left="0"/>
        <w:jc w:val="left"/>
      </w:pPr>
      <w:r>
        <w:rPr>
          <w:rFonts w:ascii="SimSun" w:hAnsi="SimSun"/>
          <w:b w:val="false"/>
          <w:i w:val="false"/>
          <w:color w:val="000000"/>
          <w:sz w:val="21"/>
        </w:rPr>
        <w:t>（1）必须已修满学校规定的学分，所有修读课程成绩合格，其中研究生学位课程平均绩点不低于 2.5。</w:t>
      </w:r>
    </w:p>
    <w:p>
      <w:pPr>
        <w:spacing w:after="0"/>
        <w:ind w:left="0"/>
        <w:jc w:val="left"/>
      </w:pPr>
      <w:r>
        <w:rPr>
          <w:rFonts w:ascii="SimSun" w:hAnsi="SimSun"/>
          <w:b w:val="false"/>
          <w:i w:val="false"/>
          <w:color w:val="000000"/>
          <w:sz w:val="21"/>
        </w:rPr>
        <w:t>（2）通过博士学位论文答辩。</w:t>
      </w:r>
    </w:p>
    <w:p>
      <w:pPr>
        <w:spacing w:after="0"/>
        <w:ind w:left="0"/>
        <w:jc w:val="left"/>
      </w:pPr>
      <w:r>
        <w:rPr>
          <w:rFonts w:ascii="SimSun" w:hAnsi="SimSun"/>
          <w:b w:val="false"/>
          <w:i w:val="false"/>
          <w:color w:val="000000"/>
          <w:sz w:val="21"/>
        </w:rPr>
        <w:t>2. 研究生学段主动退出和博士生资格考核不合格退出本博融通计划的学生，需按照考古学学术硕士培养方案修读课程，如达到硕士学位要求者授予历史学硕士学位。</w:t>
      </w:r>
    </w:p>
    <w:p>
      <w:pPr>
        <w:spacing w:after="0"/>
        <w:ind w:left="0"/>
        <w:jc w:val="left"/>
      </w:pPr>
      <w:r>
        <w:rPr>
          <w:rFonts w:ascii="SimSun" w:hAnsi="SimSun"/>
          <w:b w:val="false"/>
          <w:i w:val="false"/>
          <w:color w:val="000000"/>
          <w:sz w:val="21"/>
        </w:rPr>
        <w:t>（1）必须已修满学校规定的学分，所有修读课程成绩合格，其中研究生学位课程平均绩点不低于 2.5。</w:t>
      </w:r>
    </w:p>
    <w:p>
      <w:pPr>
        <w:spacing w:after="0"/>
        <w:ind w:left="0"/>
        <w:jc w:val="left"/>
      </w:pPr>
      <w:r>
        <w:rPr>
          <w:rFonts w:ascii="SimSun" w:hAnsi="SimSun"/>
          <w:b w:val="false"/>
          <w:i w:val="false"/>
          <w:color w:val="000000"/>
          <w:sz w:val="21"/>
        </w:rPr>
        <w:t>（2）通过硕士学位论文答辩。</w:t>
      </w:r>
    </w:p>
    <w:p>
      <w:pPr>
        <w:spacing w:after="0"/>
        <w:ind w:left="0"/>
        <w:jc w:val="left"/>
      </w:pPr>
    </w:p>
    <w:p>
      <w:pPr>
        <w:spacing w:after="0"/>
        <w:ind w:left="0"/>
        <w:jc w:val="left"/>
      </w:pPr>
      <w:r>
        <w:rPr>
          <w:rFonts w:ascii="SimSun" w:hAnsi="SimSun"/>
          <w:b/>
          <w:i w:val="false"/>
          <w:color w:val="000000"/>
          <w:sz w:val="24"/>
        </w:rPr>
        <w:t xml:space="preserve">
       七.    课程体系与科研训练体系
      </w:t>
      </w:r>
    </w:p>
    <w:p>
      <w:pPr>
        <w:spacing w:after="0"/>
        <w:ind w:left="0"/>
        <w:jc w:val="left"/>
      </w:pPr>
      <w:r>
        <w:rPr>
          <w:rFonts w:ascii="SimSun" w:hAnsi="SimSun"/>
          <w:b w:val="false"/>
          <w:i w:val="false"/>
          <w:color w:val="000000"/>
          <w:sz w:val="21"/>
        </w:rPr>
        <w:t>1. 课程体系</w:t>
      </w:r>
    </w:p>
    <w:p>
      <w:pPr>
        <w:spacing w:after="0"/>
        <w:ind w:left="0"/>
        <w:jc w:val="left"/>
      </w:pPr>
      <w:r>
        <w:rPr>
          <w:rFonts w:ascii="SimSun" w:hAnsi="SimSun"/>
          <w:b w:val="false"/>
          <w:i w:val="false"/>
          <w:color w:val="000000"/>
          <w:sz w:val="21"/>
        </w:rPr>
        <w:t xml:space="preserve">    考古学学科基础课程与科技考古方向多学科方法并重的课程体系，以考古学课程与田野考古实践为基础建立了本研融通的专业核心课程体系，以科技考古各学科专业领域为横、课程内容梯度为纵建立了难度逐级提升的本研融通的专业进阶课程体系。</w:t>
      </w:r>
    </w:p>
    <w:p>
      <w:pPr>
        <w:spacing w:after="0"/>
        <w:ind w:left="0"/>
        <w:jc w:val="left"/>
      </w:pPr>
      <w:r>
        <w:rPr>
          <w:rFonts w:ascii="SimSun" w:hAnsi="SimSun"/>
          <w:b w:val="false"/>
          <w:i w:val="false"/>
          <w:color w:val="000000"/>
          <w:sz w:val="21"/>
        </w:rPr>
        <w:t>2. 科研体系</w:t>
      </w:r>
    </w:p>
    <w:p>
      <w:pPr>
        <w:spacing w:after="0"/>
        <w:ind w:left="0"/>
        <w:jc w:val="left"/>
      </w:pPr>
      <w:r>
        <w:rPr>
          <w:rFonts w:ascii="SimSun" w:hAnsi="SimSun"/>
          <w:b w:val="false"/>
          <w:i w:val="false"/>
          <w:color w:val="000000"/>
          <w:sz w:val="21"/>
        </w:rPr>
        <w:t xml:space="preserve">    建立螺旋递进的全周期科研训练体系，给低年级本科生配备学业导师，鼓励师生共创，通过复芏计划（FDUROP）等项目引导学生在“做中学、学中悟、悟中创”。通过科技考古实验训练、田野考古提升训练、文物保护实验训练等，引导学生早参加科研课题，培育学术兴趣，激发创新志趣。</w:t>
      </w:r>
    </w:p>
    <w:p>
      <w:pPr>
        <w:spacing w:after="0"/>
        <w:ind w:left="0"/>
        <w:jc w:val="left"/>
      </w:pPr>
    </w:p>
    <w:p>
      <w:pPr>
        <w:spacing w:after="0"/>
        <w:ind w:left="0"/>
        <w:jc w:val="left"/>
      </w:pPr>
      <w:r>
        <w:rPr>
          <w:rFonts w:ascii="SimSun" w:hAnsi="SimSun"/>
          <w:b/>
          <w:i w:val="false"/>
          <w:color w:val="000000"/>
          <w:sz w:val="24"/>
        </w:rPr>
        <w:t xml:space="preserve">
       八.    课程设置与修读要求
      </w:t>
      </w:r>
    </w:p>
    <w:p>
      <w:pPr>
        <w:spacing w:after="0"/>
        <w:ind w:left="0"/>
        <w:jc w:val="left"/>
      </w:pPr>
    </w:p>
    <w:p>
      <w:pPr>
        <w:spacing w:after="0"/>
        <w:ind w:left="0"/>
        <w:jc w:val="left"/>
      </w:pPr>
      <w:r>
        <w:rPr>
          <w:rFonts w:ascii="SimSun" w:hAnsi="SimSun"/>
          <w:b/>
          <w:i w:val="false"/>
          <w:color w:val="000000"/>
          <w:sz w:val="21"/>
        </w:rPr>
        <w:t xml:space="preserve">
       (一) 通识教育课程（45学分,本科要求41.0学分）
      </w:t>
      </w:r>
    </w:p>
    <w:p>
      <w:pPr>
        <w:spacing w:after="0"/>
        <w:ind w:left="0"/>
        <w:jc w:val="left"/>
      </w:pPr>
      <w:r>
        <w:rPr>
          <w:rFonts w:ascii="SimSun" w:hAnsi="SimSun"/>
          <w:b w:val="false"/>
          <w:i w:val="false"/>
          <w:color w:val="000000"/>
          <w:sz w:val="21"/>
        </w:rPr>
        <w:t xml:space="preserve">
       通识教育课程包括通识教育核心课程和专项教育课程。
      </w:t>
      </w:r>
    </w:p>
    <w:p>
      <w:pPr>
        <w:spacing w:after="0"/>
        <w:ind w:left="0"/>
        <w:jc w:val="left"/>
      </w:pPr>
      <w:r>
        <w:rPr>
          <w:rFonts w:ascii="SimSun" w:hAnsi="SimSun"/>
          <w:b/>
          <w:i w:val="false"/>
          <w:color w:val="000000"/>
          <w:sz w:val="21"/>
        </w:rPr>
        <w:t xml:space="preserve">
       1.  通识教育核心课程（29学分,本科要求25.0学分）
      </w:t>
      </w:r>
    </w:p>
    <w:p>
      <w:pPr>
        <w:spacing w:after="0"/>
        <w:ind w:left="0"/>
        <w:jc w:val="left"/>
      </w:pPr>
      <w:r>
        <w:rPr>
          <w:rFonts w:ascii="SimSun" w:hAnsi="SimSun"/>
          <w:b w:val="false"/>
          <w:i w:val="false"/>
          <w:color w:val="000000"/>
          <w:sz w:val="21"/>
        </w:rPr>
        <w:t xml:space="preserve">
       要求修读29学分，含思想政治理论课与创新课20学分（其中研究生学位课4学分），七大模块课程8学分（每模块最多修读1门课程），大学生国家安全教育1学分。
      </w:t>
      </w:r>
    </w:p>
    <w:p>
      <w:pPr>
        <w:spacing w:after="0"/>
        <w:ind w:left="0"/>
        <w:jc w:val="left"/>
      </w:pPr>
      <w:r>
        <w:rPr>
          <w:rFonts w:ascii="SimSun" w:hAnsi="SimSun"/>
          <w:b/>
          <w:i w:val="false"/>
          <w:color w:val="000000"/>
          <w:sz w:val="21"/>
        </w:rPr>
        <w:t xml:space="preserve">
       2.  通识教育专项教育课程（16学分,本科要求16.0学分）
      </w:t>
      </w:r>
    </w:p>
    <w:p>
      <w:pPr>
        <w:spacing w:after="0"/>
        <w:ind w:left="0"/>
        <w:jc w:val="left"/>
      </w:pPr>
      <w:r>
        <w:rPr>
          <w:rFonts w:ascii="SimSun" w:hAnsi="SimSun"/>
          <w:b w:val="false"/>
          <w:i w:val="false"/>
          <w:color w:val="000000"/>
          <w:sz w:val="21"/>
        </w:rPr>
        <w:t xml:space="preserve">
       要求修读16学分， 课程设置详见专项教育课程（其中，人工智能教学专项修读B1类课程3学分）。
      </w:t>
      </w:r>
    </w:p>
    <w:p>
      <w:pPr>
        <w:spacing w:after="0"/>
        <w:ind w:left="0"/>
        <w:jc w:val="left"/>
      </w:pPr>
      <w:r>
        <w:rPr>
          <w:rFonts w:ascii="SimSun" w:hAnsi="SimSun"/>
          <w:b/>
          <w:i w:val="false"/>
          <w:color w:val="000000"/>
          <w:sz w:val="21"/>
        </w:rPr>
        <w:t xml:space="preserve">
       (二) 专业培养课程（65学分,本科要求65.0学分）
      </w:t>
      </w:r>
    </w:p>
    <w:p>
      <w:pPr>
        <w:spacing w:after="0"/>
        <w:ind w:left="0"/>
        <w:jc w:val="left"/>
      </w:pPr>
      <w:r>
        <w:rPr>
          <w:rFonts w:ascii="SimSun" w:hAnsi="SimSun"/>
          <w:b w:val="false"/>
          <w:i w:val="false"/>
          <w:color w:val="000000"/>
          <w:sz w:val="21"/>
        </w:rPr>
        <w:t xml:space="preserve">
       专业培养课程包括学科基础课程和专业核心教育课程。
      </w:t>
      </w:r>
    </w:p>
    <w:p>
      <w:pPr>
        <w:spacing w:after="0"/>
        <w:ind w:left="0"/>
        <w:jc w:val="left"/>
      </w:pPr>
      <w:r>
        <w:rPr>
          <w:rFonts w:ascii="SimSun" w:hAnsi="SimSun"/>
          <w:b/>
          <w:i w:val="false"/>
          <w:color w:val="000000"/>
          <w:sz w:val="21"/>
        </w:rPr>
        <w:t xml:space="preserve">
       1.  学科基础课程（18学分,本科要求18.0学分）
      </w:t>
      </w:r>
    </w:p>
    <w:p>
      <w:pPr>
        <w:spacing w:after="0"/>
        <w:ind w:left="0"/>
        <w:jc w:val="left"/>
      </w:pPr>
      <w:r>
        <w:rPr>
          <w:rFonts w:ascii="SimSun" w:hAnsi="SimSun"/>
          <w:b w:val="false"/>
          <w:i w:val="false"/>
          <w:color w:val="000000"/>
          <w:sz w:val="21"/>
        </w:rPr>
        <w:t xml:space="preserve">
       其中，必修课程为：“考古学导论” “中国古代文明”“大学数学I” “大学数学II”共11学分，选修至少7学分。
      </w:t>
      </w:r>
    </w:p>
    <w:tbl>
      <w:tblPr>
        <w:tblW w:w="0" w:type="auto"/>
        <w:tblCellSpacing w:w="0" w:type="auto"/>
        <w:tblBorders>
          <w:top w:val="none"/>
          <w:left w:val="none"/>
          <w:bottom w:val="none"/>
          <w:right w:val="none"/>
          <w:insideH w:val="none"/>
          <w:insideV w:val="none"/>
        </w:tblBorders>
      </w:tblPr>
      <w:tblGrid>
        <w:gridCol w:w="2034"/>
        <w:gridCol w:w="2713"/>
        <w:gridCol w:w="677"/>
        <w:gridCol w:w="680"/>
        <w:gridCol w:w="942"/>
        <w:gridCol w:w="1585"/>
        <w:gridCol w:w="678"/>
        <w:gridCol w:w="678"/>
        <w:gridCol w:w="678"/>
        <w:gridCol w:w="674"/>
        <w:gridCol w:w="944"/>
        <w:gridCol w:w="1351"/>
      </w:tblGrid>
      <w:tr>
        <w:trPr>
          <w:trHeight w:val="45" w:hRule="atLeast"/>
        </w:trPr>
        <w:tc>
          <w:tcPr>
            <w:tcW w:w="20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4"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考古学导论</w:t>
            </w:r>
            <w:r>
              <w:br/>
            </w:r>
            <w:r>
              <w:rPr>
                <w:rFonts w:ascii="SimSun" w:hAnsi="SimSun"/>
                <w:b w:val="false"/>
                <w:i w:val="false"/>
                <w:color w:val="000000"/>
                <w:sz w:val="21"/>
              </w:rPr>
              <w:t>Introduction to Archaeology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ARCH10001</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中国古代文明</w:t>
            </w:r>
            <w:r>
              <w:br/>
            </w:r>
            <w:r>
              <w:rPr>
                <w:rFonts w:ascii="SimSun" w:hAnsi="SimSun"/>
                <w:b w:val="false"/>
                <w:i w:val="false"/>
                <w:color w:val="000000"/>
                <w:sz w:val="21"/>
              </w:rPr>
              <w:t>The Chinese Tradional Civilization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HIST10006</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8"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8"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普通物理B</w:t>
            </w:r>
            <w:r>
              <w:br/>
            </w:r>
            <w:r>
              <w:rPr>
                <w:rFonts w:ascii="SimSun" w:hAnsi="SimSun"/>
                <w:b w:val="false"/>
                <w:i w:val="false"/>
                <w:color w:val="000000"/>
                <w:sz w:val="21"/>
              </w:rPr>
              <w:t>General Physics B</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PHYS10002</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普通化学C</w:t>
            </w:r>
            <w:r>
              <w:br/>
            </w:r>
            <w:r>
              <w:rPr>
                <w:rFonts w:ascii="SimSun" w:hAnsi="SimSun"/>
                <w:b w:val="false"/>
                <w:i w:val="false"/>
                <w:color w:val="000000"/>
                <w:sz w:val="21"/>
              </w:rPr>
              <w:t>General Chemistry 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CHEM10008</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有机化学C</w:t>
            </w:r>
            <w:r>
              <w:br/>
            </w:r>
            <w:r>
              <w:rPr>
                <w:rFonts w:ascii="SimSun" w:hAnsi="SimSun"/>
                <w:b w:val="false"/>
                <w:i w:val="false"/>
                <w:color w:val="000000"/>
                <w:sz w:val="21"/>
              </w:rPr>
              <w:t>Organic Chemistry 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CHEM10007</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现代生物科学导论C</w:t>
            </w:r>
            <w:r>
              <w:br/>
            </w:r>
            <w:r>
              <w:rPr>
                <w:rFonts w:ascii="SimSun" w:hAnsi="SimSun"/>
                <w:b w:val="false"/>
                <w:i w:val="false"/>
                <w:color w:val="000000"/>
                <w:sz w:val="21"/>
              </w:rPr>
              <w:t>Introduction to Modern Biological Science 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BIOL10002</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程序设计</w:t>
            </w:r>
            <w:r>
              <w:br/>
            </w:r>
            <w:r>
              <w:rPr>
                <w:rFonts w:ascii="SimSun" w:hAnsi="SimSun"/>
                <w:b w:val="false"/>
                <w:i w:val="false"/>
                <w:color w:val="000000"/>
                <w:sz w:val="21"/>
              </w:rPr>
              <w:t>Programming</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90.0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CS10004</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中国文字源流</w:t>
            </w:r>
            <w:r>
              <w:br/>
            </w:r>
            <w:r>
              <w:rPr>
                <w:rFonts w:ascii="SimSun" w:hAnsi="SimSun"/>
                <w:b w:val="false"/>
                <w:i w:val="false"/>
                <w:color w:val="000000"/>
                <w:sz w:val="21"/>
              </w:rPr>
              <w:t>Historical Development of Chinese Writings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CULT10002</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逻辑学</w:t>
            </w:r>
            <w:r>
              <w:br/>
            </w:r>
            <w:r>
              <w:rPr>
                <w:rFonts w:ascii="SimSun" w:hAnsi="SimSun"/>
                <w:b w:val="false"/>
                <w:i w:val="false"/>
                <w:color w:val="000000"/>
                <w:sz w:val="21"/>
              </w:rPr>
              <w:t>Logic</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PHIL10003</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1"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组01:二选一 </w:t>
            </w:r>
          </w:p>
        </w:tc>
      </w:tr>
      <w:tr>
        <w:trPr>
          <w:trHeight w:val="45" w:hRule="atLeast"/>
        </w:trPr>
        <w:tc>
          <w:tcPr>
            <w:tcW w:w="0" w:type="auto"/>
            <w:vMerge/>
            <w:tcBorders>
              <w:top w:val="nil"/>
              <w:left w:val="single" w:color="000000" w:sz="8"/>
              <w:bottom w:val="single" w:color="000000" w:sz="8"/>
            </w:tcBorders>
          </w:tcPr>
          <w:p/>
        </w:tc>
        <w:tc>
          <w:tcPr>
            <w:tcW w:w="271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哲学导论</w:t>
            </w:r>
            <w:r>
              <w:br/>
            </w:r>
            <w:r>
              <w:rPr>
                <w:rFonts w:ascii="SimSun" w:hAnsi="SimSun"/>
                <w:b w:val="false"/>
                <w:i w:val="false"/>
                <w:color w:val="000000"/>
                <w:sz w:val="21"/>
              </w:rPr>
              <w:t>Introduction to Philosophy</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8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PHIL10002</w:t>
            </w: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4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r>
    </w:tbl>
    <w:p>
      <w:pPr>
        <w:spacing w:after="0"/>
        <w:ind w:left="0"/>
        <w:jc w:val="left"/>
      </w:pPr>
      <w:r>
        <w:rPr>
          <w:rFonts w:ascii="SimSun" w:hAnsi="SimSun"/>
          <w:b/>
          <w:i w:val="false"/>
          <w:color w:val="000000"/>
          <w:sz w:val="21"/>
        </w:rPr>
        <w:t xml:space="preserve">
       2.  专业核心教育课程（47学分,本科要求47.0学分）
      </w:t>
      </w:r>
    </w:p>
    <w:tbl>
      <w:tblPr>
        <w:tblW w:w="0" w:type="auto"/>
        <w:tblCellSpacing w:w="0" w:type="auto"/>
        <w:tblBorders>
          <w:top w:val="none"/>
          <w:left w:val="none"/>
          <w:bottom w:val="none"/>
          <w:right w:val="none"/>
          <w:insideH w:val="none"/>
          <w:insideV w:val="none"/>
        </w:tblBorders>
      </w:tblPr>
      <w:tblGrid>
        <w:gridCol w:w="2036"/>
        <w:gridCol w:w="2719"/>
        <w:gridCol w:w="680"/>
        <w:gridCol w:w="690"/>
        <w:gridCol w:w="947"/>
        <w:gridCol w:w="1538"/>
        <w:gridCol w:w="681"/>
        <w:gridCol w:w="680"/>
        <w:gridCol w:w="681"/>
        <w:gridCol w:w="678"/>
        <w:gridCol w:w="949"/>
        <w:gridCol w:w="1355"/>
      </w:tblGrid>
      <w:tr>
        <w:trPr>
          <w:trHeight w:val="45" w:hRule="atLeast"/>
        </w:trPr>
        <w:tc>
          <w:tcPr>
            <w:tcW w:w="203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中国古代史</w:t>
            </w:r>
            <w:r>
              <w:br/>
            </w:r>
            <w:r>
              <w:rPr>
                <w:rFonts w:ascii="SimSun" w:hAnsi="SimSun"/>
                <w:b w:val="false"/>
                <w:i w:val="false"/>
                <w:color w:val="000000"/>
                <w:sz w:val="21"/>
              </w:rPr>
              <w:t>The History of Ancient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科技考古导论</w:t>
            </w:r>
            <w:r>
              <w:br/>
            </w:r>
            <w:r>
              <w:rPr>
                <w:rFonts w:ascii="SimSun" w:hAnsi="SimSun"/>
                <w:b w:val="false"/>
                <w:i w:val="false"/>
                <w:color w:val="000000"/>
                <w:sz w:val="21"/>
              </w:rPr>
              <w:t>Introduction to Archaeological Science and Technology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旧石器时代考古</w:t>
            </w:r>
            <w:r>
              <w:br/>
            </w:r>
            <w:r>
              <w:rPr>
                <w:rFonts w:ascii="SimSun" w:hAnsi="SimSun"/>
                <w:b w:val="false"/>
                <w:i w:val="false"/>
                <w:color w:val="000000"/>
                <w:sz w:val="21"/>
              </w:rPr>
              <w:t>Paleolithic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ARCH20006</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新石器时代考古</w:t>
            </w:r>
            <w:r>
              <w:br/>
            </w:r>
            <w:r>
              <w:rPr>
                <w:rFonts w:ascii="SimSun" w:hAnsi="SimSun"/>
                <w:b w:val="false"/>
                <w:i w:val="false"/>
                <w:color w:val="000000"/>
                <w:sz w:val="21"/>
              </w:rPr>
              <w:t>Neolithic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ARCH20007</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文物保护基础</w:t>
            </w:r>
            <w:r>
              <w:br/>
            </w:r>
            <w:r>
              <w:rPr>
                <w:rFonts w:ascii="SimSun" w:hAnsi="SimSun"/>
                <w:b w:val="false"/>
                <w:i w:val="false"/>
                <w:color w:val="000000"/>
                <w:sz w:val="21"/>
              </w:rPr>
              <w:t>Basics of Cultural Relic Conservation</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CULT20001</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夏商周考古</w:t>
            </w:r>
            <w:r>
              <w:br/>
            </w:r>
            <w:r>
              <w:rPr>
                <w:rFonts w:ascii="SimSun" w:hAnsi="SimSun"/>
                <w:b w:val="false"/>
                <w:i w:val="false"/>
                <w:color w:val="000000"/>
                <w:sz w:val="21"/>
              </w:rPr>
              <w:t>Archaeology of Xia, Shang and Zhou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ARCH20005</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汉唐考古</w:t>
            </w:r>
            <w:r>
              <w:br/>
            </w:r>
            <w:r>
              <w:rPr>
                <w:rFonts w:ascii="SimSun" w:hAnsi="SimSun"/>
                <w:b w:val="false"/>
                <w:i w:val="false"/>
                <w:color w:val="000000"/>
                <w:sz w:val="21"/>
              </w:rPr>
              <w:t>Archaeology of Han and Tang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ARCH20002</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田野考古学</w:t>
            </w:r>
            <w:r>
              <w:br/>
            </w:r>
            <w:r>
              <w:rPr>
                <w:rFonts w:ascii="SimSun" w:hAnsi="SimSun"/>
                <w:b w:val="false"/>
                <w:i w:val="false"/>
                <w:color w:val="000000"/>
                <w:sz w:val="21"/>
              </w:rPr>
              <w:t>Field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ARCH20008</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中国历史地理概论</w:t>
            </w:r>
            <w:r>
              <w:br/>
            </w:r>
            <w:r>
              <w:rPr>
                <w:rFonts w:ascii="SimSun" w:hAnsi="SimSun"/>
                <w:b w:val="false"/>
                <w:i w:val="false"/>
                <w:color w:val="000000"/>
                <w:sz w:val="21"/>
              </w:rPr>
              <w:t>Historical Geography of China</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HIST30009</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宋元明考古</w:t>
            </w:r>
            <w:r>
              <w:br/>
            </w:r>
            <w:r>
              <w:rPr>
                <w:rFonts w:ascii="SimSun" w:hAnsi="SimSun"/>
                <w:b w:val="false"/>
                <w:i w:val="false"/>
                <w:color w:val="000000"/>
                <w:sz w:val="21"/>
              </w:rPr>
              <w:t>Archaeology of Song, Yuan and Ming Dynasties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ARCH20004</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AI考古理论与实践</w:t>
            </w:r>
            <w:r>
              <w:br/>
            </w:r>
            <w:r>
              <w:rPr>
                <w:rFonts w:ascii="SimSun" w:hAnsi="SimSun"/>
                <w:b w:val="false"/>
                <w:i w:val="false"/>
                <w:color w:val="000000"/>
                <w:sz w:val="21"/>
              </w:rPr>
              <w:t>Theoretical and Practical Applications of AI Archaeology</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田野考古技术</w:t>
            </w:r>
            <w:r>
              <w:br/>
            </w:r>
            <w:r>
              <w:rPr>
                <w:rFonts w:ascii="SimSun" w:hAnsi="SimSun"/>
                <w:b w:val="false"/>
                <w:i w:val="false"/>
                <w:color w:val="000000"/>
                <w:sz w:val="21"/>
              </w:rPr>
              <w:t>Field Archaeological Skills</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ARCH20017</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1.5</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田野考古实践教学</w:t>
            </w:r>
            <w:r>
              <w:br/>
            </w:r>
            <w:r>
              <w:rPr>
                <w:rFonts w:ascii="SimSun" w:hAnsi="SimSun"/>
                <w:b w:val="false"/>
                <w:i w:val="false"/>
                <w:color w:val="000000"/>
                <w:sz w:val="21"/>
              </w:rPr>
              <w:t>Field Archaeology Practice</w:t>
            </w:r>
          </w:p>
        </w:tc>
        <w:tc>
          <w:tcPr>
            <w:tcW w:w="68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69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216.0</w:t>
            </w:r>
          </w:p>
        </w:tc>
        <w:tc>
          <w:tcPr>
            <w:tcW w:w="94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ARCH30002</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680"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6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4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考古统计学</w:t>
            </w:r>
            <w:r>
              <w:br/>
            </w:r>
            <w:r>
              <w:rPr>
                <w:rFonts w:ascii="SimSun" w:hAnsi="SimSun"/>
                <w:b w:val="false"/>
                <w:i w:val="false"/>
                <w:color w:val="000000"/>
                <w:sz w:val="21"/>
              </w:rPr>
              <w:t>Archaeological Statistics</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9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4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ARCH30005</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68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4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55"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包括本研融通专业进阶路径（含荣誉项目）、跨学科发展、辅修学士学位项目、创新创业等不同路径，要求在院系专业导师指导下选择1条发展路径，按路径要求修读课程。
      </w:t>
      </w:r>
    </w:p>
    <w:p>
      <w:pPr>
        <w:spacing w:after="0"/>
        <w:ind w:left="0"/>
        <w:jc w:val="left"/>
      </w:pPr>
      <w:r>
        <w:rPr>
          <w:rFonts w:ascii="SimSun" w:hAnsi="SimSun"/>
          <w:b/>
          <w:i w:val="false"/>
          <w:color w:val="000000"/>
          <w:sz w:val="21"/>
        </w:rPr>
        <w:t xml:space="preserve">
       1.  专业进阶路径（30学分）
      </w:t>
      </w:r>
    </w:p>
    <w:p>
      <w:pPr>
        <w:spacing w:after="0"/>
        <w:ind w:left="0"/>
        <w:jc w:val="left"/>
      </w:pPr>
      <w:r>
        <w:rPr>
          <w:rFonts w:ascii="SimSun" w:hAnsi="SimSun"/>
          <w:b w:val="false"/>
          <w:i w:val="false"/>
          <w:color w:val="000000"/>
          <w:sz w:val="21"/>
        </w:rPr>
        <w:t xml:space="preserve">
       修满30学分。要求在专业进阶模块I修读20学分（研究生课程不少于10学分）、专业进阶模块II修读10学分。 
      </w:t>
      </w:r>
    </w:p>
    <w:p>
      <w:pPr>
        <w:spacing w:after="0"/>
        <w:ind w:left="0"/>
        <w:jc w:val="left"/>
      </w:pPr>
      <w:r>
        <w:rPr>
          <w:rFonts w:ascii="SimSun" w:hAnsi="SimSun"/>
          <w:b/>
          <w:i w:val="false"/>
          <w:color w:val="000000"/>
          <w:sz w:val="21"/>
        </w:rPr>
        <w:t xml:space="preserve">
       (1) 专业进阶模块I（20学分,本科要求15.0学分）
      </w:t>
      </w:r>
    </w:p>
    <w:p>
      <w:pPr>
        <w:spacing w:after="0"/>
        <w:ind w:left="0"/>
        <w:jc w:val="left"/>
      </w:pPr>
      <w:r>
        <w:rPr>
          <w:rFonts w:ascii="SimSun" w:hAnsi="SimSun"/>
          <w:b w:val="false"/>
          <w:i w:val="false"/>
          <w:color w:val="000000"/>
          <w:sz w:val="21"/>
        </w:rPr>
        <w:t xml:space="preserve">
       （1）专业进阶模块I（20学分），本科学段需在“专业进阶模块I”修满15学分，其中本科课程至少10学分。整个本博融通培养阶段，需在“专业进阶模块I”修读满20学分，其中研究生课程10学分（参照建议修读学期必修）。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考古学思想史</w:t>
            </w:r>
            <w:r>
              <w:br/>
            </w:r>
            <w:r>
              <w:rPr>
                <w:rFonts w:ascii="SimSun" w:hAnsi="SimSun"/>
                <w:b w:val="false"/>
                <w:i w:val="false"/>
                <w:color w:val="000000"/>
                <w:sz w:val="21"/>
              </w:rPr>
              <w:t>History of Archaeological Thought</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动物考古学</w:t>
            </w:r>
            <w:r>
              <w:br/>
            </w:r>
            <w:r>
              <w:rPr>
                <w:rFonts w:ascii="SimSun" w:hAnsi="SimSun"/>
                <w:b w:val="false"/>
                <w:i w:val="false"/>
                <w:color w:val="000000"/>
                <w:sz w:val="21"/>
              </w:rPr>
              <w:t>Zooarchaeology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植物考古学</w:t>
            </w:r>
            <w:r>
              <w:br/>
            </w:r>
            <w:r>
              <w:rPr>
                <w:rFonts w:ascii="SimSun" w:hAnsi="SimSun"/>
                <w:b w:val="false"/>
                <w:i w:val="false"/>
                <w:color w:val="000000"/>
                <w:sz w:val="21"/>
              </w:rPr>
              <w:t>Palaeoethnobotany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w:t>
            </w:r>
            <w:r>
              <w:br/>
            </w:r>
            <w:r>
              <w:rPr>
                <w:rFonts w:ascii="SimSun" w:hAnsi="SimSun"/>
                <w:b w:val="false"/>
                <w:i w:val="false"/>
                <w:color w:val="000000"/>
                <w:sz w:val="21"/>
              </w:rPr>
              <w:t>Ceramic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分子考古学</w:t>
            </w:r>
            <w:r>
              <w:br/>
            </w:r>
            <w:r>
              <w:rPr>
                <w:rFonts w:ascii="SimSun" w:hAnsi="SimSun"/>
                <w:b w:val="false"/>
                <w:i w:val="false"/>
                <w:color w:val="000000"/>
                <w:sz w:val="21"/>
              </w:rPr>
              <w:t>Molecular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体质人类学</w:t>
            </w:r>
            <w:r>
              <w:br/>
            </w:r>
            <w:r>
              <w:rPr>
                <w:rFonts w:ascii="SimSun" w:hAnsi="SimSun"/>
                <w:b w:val="false"/>
                <w:i w:val="false"/>
                <w:color w:val="000000"/>
                <w:sz w:val="21"/>
              </w:rPr>
              <w:t>Physical Anthropology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同位素考古</w:t>
            </w:r>
            <w:r>
              <w:br/>
            </w:r>
            <w:r>
              <w:rPr>
                <w:rFonts w:ascii="SimSun" w:hAnsi="SimSun"/>
                <w:b w:val="false"/>
                <w:i w:val="false"/>
                <w:color w:val="000000"/>
                <w:sz w:val="21"/>
              </w:rPr>
              <w:t>Isotope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农业考古</w:t>
            </w:r>
            <w:r>
              <w:br/>
            </w:r>
            <w:r>
              <w:rPr>
                <w:rFonts w:ascii="SimSun" w:hAnsi="SimSun"/>
                <w:b w:val="false"/>
                <w:i w:val="false"/>
                <w:color w:val="000000"/>
                <w:sz w:val="21"/>
              </w:rPr>
              <w:t>Agricultural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石窟寺考古</w:t>
            </w:r>
            <w:r>
              <w:br/>
            </w:r>
            <w:r>
              <w:rPr>
                <w:rFonts w:ascii="SimSun" w:hAnsi="SimSun"/>
                <w:b w:val="false"/>
                <w:i w:val="false"/>
                <w:color w:val="000000"/>
                <w:sz w:val="21"/>
              </w:rPr>
              <w:t>Grotto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世界考古概论</w:t>
            </w:r>
            <w:r>
              <w:br/>
            </w:r>
            <w:r>
              <w:rPr>
                <w:rFonts w:ascii="SimSun" w:hAnsi="SimSun"/>
                <w:b w:val="false"/>
                <w:i w:val="false"/>
                <w:color w:val="000000"/>
                <w:sz w:val="21"/>
              </w:rPr>
              <w:t>Introduction to World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公众考古</w:t>
            </w:r>
            <w:r>
              <w:br/>
            </w:r>
            <w:r>
              <w:rPr>
                <w:rFonts w:ascii="SimSun" w:hAnsi="SimSun"/>
                <w:b w:val="false"/>
                <w:i w:val="false"/>
                <w:color w:val="000000"/>
                <w:sz w:val="21"/>
              </w:rPr>
              <w:t>Public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冶金考古</w:t>
            </w:r>
            <w:r>
              <w:br/>
            </w:r>
            <w:r>
              <w:rPr>
                <w:rFonts w:ascii="SimSun" w:hAnsi="SimSun"/>
                <w:b w:val="false"/>
                <w:i w:val="false"/>
                <w:color w:val="000000"/>
                <w:sz w:val="21"/>
              </w:rPr>
              <w:t>Archaeometallurgy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环境考古学</w:t>
            </w:r>
            <w:r>
              <w:br/>
            </w:r>
            <w:r>
              <w:rPr>
                <w:rFonts w:ascii="SimSun" w:hAnsi="SimSun"/>
                <w:b w:val="false"/>
                <w:i w:val="false"/>
                <w:color w:val="000000"/>
                <w:sz w:val="21"/>
              </w:rPr>
              <w:t>Environmental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古人类学</w:t>
            </w:r>
            <w:r>
              <w:br/>
            </w:r>
            <w:r>
              <w:rPr>
                <w:rFonts w:ascii="SimSun" w:hAnsi="SimSun"/>
                <w:b w:val="false"/>
                <w:i w:val="false"/>
                <w:color w:val="000000"/>
                <w:sz w:val="21"/>
              </w:rPr>
              <w:t>Paleoanthropology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博物馆学概论</w:t>
            </w:r>
            <w:r>
              <w:br/>
            </w:r>
            <w:r>
              <w:rPr>
                <w:rFonts w:ascii="SimSun" w:hAnsi="SimSun"/>
                <w:b w:val="false"/>
                <w:i w:val="false"/>
                <w:color w:val="000000"/>
                <w:sz w:val="21"/>
              </w:rPr>
              <w:t>Introduction to Museology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MUSE20001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文化遗产导论</w:t>
            </w:r>
            <w:r>
              <w:br/>
            </w:r>
            <w:r>
              <w:rPr>
                <w:rFonts w:ascii="SimSun" w:hAnsi="SimSun"/>
                <w:b w:val="false"/>
                <w:i w:val="false"/>
                <w:color w:val="000000"/>
                <w:sz w:val="21"/>
              </w:rPr>
              <w:t>Introduction to Cultural Heritage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文物研究导论</w:t>
            </w:r>
            <w:r>
              <w:br/>
            </w:r>
            <w:r>
              <w:rPr>
                <w:rFonts w:ascii="SimSun" w:hAnsi="SimSun"/>
                <w:b w:val="false"/>
                <w:i w:val="false"/>
                <w:color w:val="000000"/>
                <w:sz w:val="21"/>
              </w:rPr>
              <w:t>Introduction to the Study of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CULT20005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中国古代建筑史</w:t>
            </w:r>
            <w:r>
              <w:br/>
            </w:r>
            <w:r>
              <w:rPr>
                <w:rFonts w:ascii="SimSun" w:hAnsi="SimSun"/>
                <w:b w:val="false"/>
                <w:i w:val="false"/>
                <w:color w:val="000000"/>
                <w:sz w:val="21"/>
              </w:rPr>
              <w:t>History of Architectural Development in Ancient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中国美术考古</w:t>
            </w:r>
            <w:r>
              <w:br/>
            </w:r>
            <w:r>
              <w:rPr>
                <w:rFonts w:ascii="SimSun" w:hAnsi="SimSun"/>
                <w:b w:val="false"/>
                <w:i w:val="false"/>
                <w:color w:val="000000"/>
                <w:sz w:val="21"/>
              </w:rPr>
              <w:t>Chinese Art and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中国科技史概论</w:t>
            </w:r>
            <w:r>
              <w:br/>
            </w:r>
            <w:r>
              <w:rPr>
                <w:rFonts w:ascii="SimSun" w:hAnsi="SimSun"/>
                <w:b w:val="false"/>
                <w:i w:val="false"/>
                <w:color w:val="000000"/>
                <w:sz w:val="21"/>
              </w:rPr>
              <w:t>Introduction to History of Science and Technology in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文物保护技术</w:t>
            </w:r>
            <w:r>
              <w:br/>
            </w:r>
            <w:r>
              <w:rPr>
                <w:rFonts w:ascii="SimSun" w:hAnsi="SimSun"/>
                <w:b w:val="false"/>
                <w:i w:val="false"/>
                <w:color w:val="000000"/>
                <w:sz w:val="21"/>
              </w:rPr>
              <w:t>Techniques of Cultural Relics Conservation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文物分析技术</w:t>
            </w:r>
            <w:r>
              <w:br/>
            </w:r>
            <w:r>
              <w:rPr>
                <w:rFonts w:ascii="SimSun" w:hAnsi="SimSun"/>
                <w:b w:val="false"/>
                <w:i w:val="false"/>
                <w:color w:val="000000"/>
                <w:sz w:val="21"/>
              </w:rPr>
              <w:t>Analyzing Techniques of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人工智能的编程基础</w:t>
            </w:r>
            <w:r>
              <w:br/>
            </w:r>
            <w:r>
              <w:rPr>
                <w:rFonts w:ascii="SimSun" w:hAnsi="SimSun"/>
                <w:b w:val="false"/>
                <w:i w:val="false"/>
                <w:color w:val="000000"/>
                <w:sz w:val="21"/>
              </w:rPr>
              <w:t>Fundamentals of Artificial Intelligence Programming</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模式识别与机器学习</w:t>
            </w:r>
            <w:r>
              <w:br/>
            </w:r>
            <w:r>
              <w:rPr>
                <w:rFonts w:ascii="SimSun" w:hAnsi="SimSun"/>
                <w:b w:val="false"/>
                <w:i w:val="false"/>
                <w:color w:val="000000"/>
                <w:sz w:val="21"/>
              </w:rPr>
              <w:t>Pattern Recognition and Machine Learning</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自然语言处理与大语言模型</w:t>
            </w:r>
            <w:r>
              <w:br/>
            </w:r>
            <w:r>
              <w:rPr>
                <w:rFonts w:ascii="SimSun" w:hAnsi="SimSun"/>
                <w:b w:val="false"/>
                <w:i w:val="false"/>
                <w:color w:val="000000"/>
                <w:sz w:val="21"/>
              </w:rPr>
              <w:t>Natural Language Processing and Large Language Models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AIE410002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计算机视觉</w:t>
            </w:r>
            <w:r>
              <w:br/>
            </w:r>
            <w:r>
              <w:rPr>
                <w:rFonts w:ascii="SimSun" w:hAnsi="SimSun"/>
                <w:b w:val="false"/>
                <w:i w:val="false"/>
                <w:color w:val="000000"/>
                <w:sz w:val="21"/>
              </w:rPr>
              <w:t>Computer Vision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AIE310004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科技考古研究</w:t>
            </w:r>
            <w:r>
              <w:br/>
            </w:r>
            <w:r>
              <w:rPr>
                <w:rFonts w:ascii="SimSun" w:hAnsi="SimSun"/>
                <w:b w:val="false"/>
                <w:i w:val="false"/>
                <w:color w:val="000000"/>
                <w:sz w:val="21"/>
              </w:rPr>
              <w:t>Studies on archaeological sciences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CULT50005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考古学理论与方法</w:t>
            </w:r>
            <w:r>
              <w:br/>
            </w:r>
            <w:r>
              <w:rPr>
                <w:rFonts w:ascii="SimSun" w:hAnsi="SimSun"/>
                <w:b w:val="false"/>
                <w:i w:val="false"/>
                <w:color w:val="000000"/>
                <w:sz w:val="21"/>
              </w:rPr>
              <w:t>Archaeological Theories and Methods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ARCH60001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中国考古学前沿</w:t>
            </w:r>
            <w:r>
              <w:br/>
            </w:r>
            <w:r>
              <w:rPr>
                <w:rFonts w:ascii="SimSun" w:hAnsi="SimSun"/>
                <w:b w:val="false"/>
                <w:i w:val="false"/>
                <w:color w:val="000000"/>
                <w:sz w:val="21"/>
              </w:rPr>
              <w:t>Frontiers of Archaeological theory and practice</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ARCH70009</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专业进阶模块II（10学分）
      </w:t>
      </w:r>
    </w:p>
    <w:p>
      <w:pPr>
        <w:spacing w:after="0"/>
        <w:ind w:left="0"/>
        <w:jc w:val="left"/>
      </w:pPr>
      <w:r>
        <w:rPr>
          <w:rFonts w:ascii="SimSun" w:hAnsi="SimSun"/>
          <w:b w:val="false"/>
          <w:i w:val="false"/>
          <w:color w:val="000000"/>
          <w:sz w:val="21"/>
        </w:rPr>
        <w:t xml:space="preserve">
       （2）专业进阶模块II(10学分） 研究生课程不少于10学分（参照建议修读学期选修）。
      </w:t>
      </w:r>
    </w:p>
    <w:p>
      <w:pPr>
        <w:spacing w:after="0"/>
        <w:ind w:left="0"/>
        <w:jc w:val="left"/>
      </w:pPr>
      <w:r>
        <w:rPr>
          <w:rFonts w:ascii="SimSun" w:hAnsi="SimSun"/>
          <w:b/>
          <w:i w:val="false"/>
          <w:color w:val="000000"/>
          <w:sz w:val="21"/>
        </w:rPr>
        <w:t xml:space="preserve">
       a) 先秦考古（0学分）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古代陶器研究</w:t>
            </w:r>
            <w:r>
              <w:br/>
            </w:r>
            <w:r>
              <w:rPr>
                <w:rFonts w:ascii="SimSun" w:hAnsi="SimSun"/>
                <w:b w:val="false"/>
                <w:i w:val="false"/>
                <w:color w:val="000000"/>
                <w:sz w:val="21"/>
              </w:rPr>
              <w:t>Study on Ancient Pottery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新石器考古研究</w:t>
            </w:r>
            <w:r>
              <w:br/>
            </w:r>
            <w:r>
              <w:rPr>
                <w:rFonts w:ascii="SimSun" w:hAnsi="SimSun"/>
                <w:b w:val="false"/>
                <w:i w:val="false"/>
                <w:color w:val="000000"/>
                <w:sz w:val="21"/>
              </w:rPr>
              <w:t>Neolithic Archaeology Research</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聚落考古研究</w:t>
            </w:r>
            <w:r>
              <w:br/>
            </w:r>
            <w:r>
              <w:rPr>
                <w:rFonts w:ascii="SimSun" w:hAnsi="SimSun"/>
                <w:b w:val="false"/>
                <w:i w:val="false"/>
                <w:color w:val="000000"/>
                <w:sz w:val="21"/>
              </w:rPr>
              <w:t>Settlement Archaeology Research</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ARCH50004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丝绸之路考古</w:t>
            </w:r>
            <w:r>
              <w:br/>
            </w:r>
            <w:r>
              <w:rPr>
                <w:rFonts w:ascii="SimSun" w:hAnsi="SimSun"/>
                <w:b w:val="false"/>
                <w:i w:val="false"/>
                <w:color w:val="000000"/>
                <w:sz w:val="21"/>
              </w:rPr>
              <w:t>Silk Road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陶器的生产与利用研究</w:t>
            </w:r>
            <w:r>
              <w:br/>
            </w:r>
            <w:r>
              <w:rPr>
                <w:rFonts w:ascii="SimSun" w:hAnsi="SimSun"/>
                <w:b w:val="false"/>
                <w:i w:val="false"/>
                <w:color w:val="000000"/>
                <w:sz w:val="21"/>
              </w:rPr>
              <w:t>Ritual Pottery and the Complexity of Society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ARCH80016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丝绸之路考古研究</w:t>
            </w:r>
            <w:r>
              <w:br/>
            </w:r>
            <w:r>
              <w:rPr>
                <w:rFonts w:ascii="SimSun" w:hAnsi="SimSun"/>
                <w:b w:val="false"/>
                <w:i w:val="false"/>
                <w:color w:val="000000"/>
                <w:sz w:val="21"/>
              </w:rPr>
              <w:t>Archaeological Research of the Silk Road</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b) 历史时期考古（0学分）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历史时期城址与墓葬研究专题</w:t>
            </w:r>
            <w:r>
              <w:br/>
            </w:r>
            <w:r>
              <w:rPr>
                <w:rFonts w:ascii="SimSun" w:hAnsi="SimSun"/>
                <w:b w:val="false"/>
                <w:i w:val="false"/>
                <w:color w:val="000000"/>
                <w:sz w:val="21"/>
              </w:rPr>
              <w:t>Special Topics on City Sites and Tombs of Historical Period</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陶瓷考古研究</w:t>
            </w:r>
            <w:r>
              <w:br/>
            </w:r>
            <w:r>
              <w:rPr>
                <w:rFonts w:ascii="SimSun" w:hAnsi="SimSun"/>
                <w:b w:val="false"/>
                <w:i w:val="false"/>
                <w:color w:val="000000"/>
                <w:sz w:val="21"/>
              </w:rPr>
              <w:t>Research on Ceramic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CULT60006</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历史时期考古学理论与实践</w:t>
            </w:r>
            <w:r>
              <w:br/>
            </w:r>
            <w:r>
              <w:rPr>
                <w:rFonts w:ascii="SimSun" w:hAnsi="SimSun"/>
                <w:b w:val="false"/>
                <w:i w:val="false"/>
                <w:color w:val="000000"/>
                <w:sz w:val="21"/>
              </w:rPr>
              <w:t>Theory and Practice of Archaeology in Historical Period</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陶瓷考古理论与实践</w:t>
            </w:r>
            <w:r>
              <w:br/>
            </w:r>
            <w:r>
              <w:rPr>
                <w:rFonts w:ascii="SimSun" w:hAnsi="SimSun"/>
                <w:b w:val="false"/>
                <w:i w:val="false"/>
                <w:color w:val="000000"/>
                <w:sz w:val="21"/>
              </w:rPr>
              <w:t>Theory and Practice of Ceramic 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ARCH70018</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瓷器起源研究</w:t>
            </w:r>
            <w:r>
              <w:br/>
            </w:r>
            <w:r>
              <w:rPr>
                <w:rFonts w:ascii="SimSun" w:hAnsi="SimSun"/>
                <w:b w:val="false"/>
                <w:i w:val="false"/>
                <w:color w:val="000000"/>
                <w:sz w:val="21"/>
              </w:rPr>
              <w:t>Study on the origin of porcelain production</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ARCH80018</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c) 科技考古（0学分）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动物考古的方法与实践</w:t>
            </w:r>
            <w:r>
              <w:br/>
            </w:r>
            <w:r>
              <w:rPr>
                <w:rFonts w:ascii="SimSun" w:hAnsi="SimSun"/>
                <w:b w:val="false"/>
                <w:i w:val="false"/>
                <w:color w:val="000000"/>
                <w:sz w:val="21"/>
              </w:rPr>
              <w:t>Zooarchaeological method and practice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生物考古</w:t>
            </w:r>
            <w:r>
              <w:br/>
            </w:r>
            <w:r>
              <w:rPr>
                <w:rFonts w:ascii="SimSun" w:hAnsi="SimSun"/>
                <w:b w:val="false"/>
                <w:i w:val="false"/>
                <w:color w:val="000000"/>
                <w:sz w:val="21"/>
              </w:rPr>
              <w:t>Bioarchaeology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农业起源研究</w:t>
            </w:r>
            <w:r>
              <w:br/>
            </w:r>
            <w:r>
              <w:rPr>
                <w:rFonts w:ascii="SimSun" w:hAnsi="SimSun"/>
                <w:b w:val="false"/>
                <w:i w:val="false"/>
                <w:color w:val="000000"/>
                <w:sz w:val="21"/>
              </w:rPr>
              <w:t>Origins of Agriculture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同位素食谱分析</w:t>
            </w:r>
            <w:r>
              <w:br/>
            </w:r>
            <w:r>
              <w:rPr>
                <w:rFonts w:ascii="SimSun" w:hAnsi="SimSun"/>
                <w:b w:val="false"/>
                <w:i w:val="false"/>
                <w:color w:val="000000"/>
                <w:sz w:val="21"/>
              </w:rPr>
              <w:t>Isotopic dietary analysis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48.0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人骨考古学</w:t>
            </w:r>
            <w:r>
              <w:br/>
            </w:r>
            <w:r>
              <w:rPr>
                <w:rFonts w:ascii="SimSun" w:hAnsi="SimSun"/>
                <w:b w:val="false"/>
                <w:i w:val="false"/>
                <w:color w:val="000000"/>
                <w:sz w:val="21"/>
              </w:rPr>
              <w:t>Human Osteoarchaeology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史前经济研究专题</w:t>
            </w:r>
            <w:r>
              <w:br/>
            </w:r>
            <w:r>
              <w:rPr>
                <w:rFonts w:ascii="SimSun" w:hAnsi="SimSun"/>
                <w:b w:val="false"/>
                <w:i w:val="false"/>
                <w:color w:val="000000"/>
                <w:sz w:val="21"/>
              </w:rPr>
              <w:t>Research on Prehistoric Economy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CULT60027</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植物考古的方法与实践</w:t>
            </w:r>
            <w:r>
              <w:br/>
            </w:r>
            <w:r>
              <w:rPr>
                <w:rFonts w:ascii="SimSun" w:hAnsi="SimSun"/>
                <w:b w:val="false"/>
                <w:i w:val="false"/>
                <w:color w:val="000000"/>
                <w:sz w:val="21"/>
              </w:rPr>
              <w:t>The Method and Practice of Archaeobotany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CULT60030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生物人类学</w:t>
            </w:r>
            <w:r>
              <w:br/>
            </w:r>
            <w:r>
              <w:rPr>
                <w:rFonts w:ascii="SimSun" w:hAnsi="SimSun"/>
                <w:b w:val="false"/>
                <w:i w:val="false"/>
                <w:color w:val="000000"/>
                <w:sz w:val="21"/>
              </w:rPr>
              <w:t>Biological Anthropology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CULT60029</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科研论文写作</w:t>
            </w:r>
            <w:r>
              <w:br/>
            </w:r>
            <w:r>
              <w:rPr>
                <w:rFonts w:ascii="SimSun" w:hAnsi="SimSun"/>
                <w:b w:val="false"/>
                <w:i w:val="false"/>
                <w:color w:val="000000"/>
                <w:sz w:val="21"/>
              </w:rPr>
              <w:t>Research paper writing: methods and standards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中国古代制瓷技术研究</w:t>
            </w:r>
            <w:r>
              <w:br/>
            </w:r>
            <w:r>
              <w:rPr>
                <w:rFonts w:ascii="SimSun" w:hAnsi="SimSun"/>
                <w:b w:val="false"/>
                <w:i w:val="false"/>
                <w:color w:val="000000"/>
                <w:sz w:val="21"/>
              </w:rPr>
              <w:t>Study on the porcelain production technique of Ancient China</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动物考古的分析与阐释</w:t>
            </w:r>
            <w:r>
              <w:br/>
            </w:r>
            <w:r>
              <w:rPr>
                <w:rFonts w:ascii="SimSun" w:hAnsi="SimSun"/>
                <w:b w:val="false"/>
                <w:i w:val="false"/>
                <w:color w:val="000000"/>
                <w:sz w:val="21"/>
              </w:rPr>
              <w:t>Zooarchaeological analysis and interpretation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ARCH80015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生物考古前沿研究</w:t>
            </w:r>
            <w:r>
              <w:br/>
            </w:r>
            <w:r>
              <w:rPr>
                <w:rFonts w:ascii="SimSun" w:hAnsi="SimSun"/>
                <w:b w:val="false"/>
                <w:i w:val="false"/>
                <w:color w:val="000000"/>
                <w:sz w:val="21"/>
              </w:rPr>
              <w:t>Frontiers in bioarchaeology</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ARCH70014</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分子考古前沿</w:t>
            </w:r>
            <w:r>
              <w:br/>
            </w:r>
            <w:r>
              <w:rPr>
                <w:rFonts w:ascii="SimSun" w:hAnsi="SimSun"/>
                <w:b w:val="false"/>
                <w:i w:val="false"/>
                <w:color w:val="000000"/>
                <w:sz w:val="21"/>
              </w:rPr>
              <w:t>Molecular Archaeology Frontiers</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ARCH70001</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d) 文物科技保护（0学分）
      </w:t>
      </w:r>
    </w:p>
    <w:tbl>
      <w:tblPr>
        <w:tblW w:w="0" w:type="auto"/>
        <w:tblCellSpacing w:w="0" w:type="auto"/>
        <w:tblBorders>
          <w:top w:val="none"/>
          <w:left w:val="none"/>
          <w:bottom w:val="none"/>
          <w:right w:val="none"/>
          <w:insideH w:val="none"/>
          <w:insideV w:val="none"/>
        </w:tblBorders>
      </w:tblPr>
      <w:tblGrid>
        <w:gridCol w:w="3205"/>
        <w:gridCol w:w="800"/>
        <w:gridCol w:w="800"/>
        <w:gridCol w:w="1122"/>
        <w:gridCol w:w="1778"/>
        <w:gridCol w:w="801"/>
        <w:gridCol w:w="801"/>
        <w:gridCol w:w="801"/>
        <w:gridCol w:w="801"/>
        <w:gridCol w:w="1122"/>
        <w:gridCol w:w="1603"/>
      </w:tblGrid>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硅酸盐文物的材料学基础</w:t>
            </w:r>
            <w:r>
              <w:br/>
            </w:r>
            <w:r>
              <w:rPr>
                <w:rFonts w:ascii="SimSun" w:hAnsi="SimSun"/>
                <w:b w:val="false"/>
                <w:i w:val="false"/>
                <w:color w:val="000000"/>
                <w:sz w:val="21"/>
              </w:rPr>
              <w:t>Foundamentals of materials science on the cultural relics of silicate</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CULT60002</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传统造纸工艺与纸张保护</w:t>
            </w:r>
            <w:r>
              <w:br/>
            </w:r>
            <w:r>
              <w:rPr>
                <w:rFonts w:ascii="SimSun" w:hAnsi="SimSun"/>
                <w:b w:val="false"/>
                <w:i w:val="false"/>
                <w:color w:val="000000"/>
                <w:sz w:val="21"/>
              </w:rPr>
              <w:t>Traditional Papermaking Technique and Paper Conservation</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现代科技与文物</w:t>
            </w:r>
            <w:r>
              <w:br/>
            </w:r>
            <w:r>
              <w:rPr>
                <w:rFonts w:ascii="SimSun" w:hAnsi="SimSun"/>
                <w:b w:val="false"/>
                <w:i w:val="false"/>
                <w:color w:val="000000"/>
                <w:sz w:val="21"/>
              </w:rPr>
              <w:t>Modern Science and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CULT50003</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文物保护与修复专题</w:t>
            </w:r>
            <w:r>
              <w:br/>
            </w:r>
            <w:r>
              <w:rPr>
                <w:rFonts w:ascii="SimSun" w:hAnsi="SimSun"/>
                <w:b w:val="false"/>
                <w:i w:val="false"/>
                <w:color w:val="000000"/>
                <w:sz w:val="21"/>
              </w:rPr>
              <w:t>Special Topics of Conservation and Restoration of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CULT50001</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石窟寺保护研究</w:t>
            </w:r>
            <w:r>
              <w:br/>
            </w:r>
            <w:r>
              <w:rPr>
                <w:rFonts w:ascii="SimSun" w:hAnsi="SimSun"/>
                <w:b w:val="false"/>
                <w:i w:val="false"/>
                <w:color w:val="000000"/>
                <w:sz w:val="21"/>
              </w:rPr>
              <w:t>Study on the protection of grottotemples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ARCH80005</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硅酸盐类文物的科技研究</w:t>
            </w:r>
            <w:r>
              <w:br/>
            </w:r>
            <w:r>
              <w:rPr>
                <w:rFonts w:ascii="SimSun" w:hAnsi="SimSun"/>
                <w:b w:val="false"/>
                <w:i w:val="false"/>
                <w:color w:val="000000"/>
                <w:sz w:val="21"/>
              </w:rPr>
              <w:t>The scientific research on the silicate cultural relics</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CULT60010</w:t>
            </w: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0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传统造纸工艺研究</w:t>
            </w:r>
            <w:r>
              <w:br/>
            </w:r>
            <w:r>
              <w:rPr>
                <w:rFonts w:ascii="SimSun" w:hAnsi="SimSun"/>
                <w:b w:val="false"/>
                <w:i w:val="false"/>
                <w:color w:val="000000"/>
                <w:sz w:val="21"/>
              </w:rPr>
              <w:t>Traditional paper-making technique</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77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ARCH80014</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2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03"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val="false"/>
          <w:i w:val="false"/>
          <w:color w:val="000000"/>
          <w:sz w:val="21"/>
        </w:rPr>
        <w:t xml:space="preserve">
       荣誉项目课程设置和修读要求请见文物与博物馆学系本科“荣誉项目”实施方案。
      </w:t>
      </w:r>
    </w:p>
    <w:p>
      <w:pPr>
        <w:spacing w:after="0"/>
        <w:ind w:left="0"/>
        <w:jc w:val="left"/>
      </w:pPr>
      <w:r>
        <w:rPr>
          <w:rFonts w:ascii="SimSun" w:hAnsi="SimSun"/>
          <w:b/>
          <w:i w:val="false"/>
          <w:color w:val="000000"/>
          <w:sz w:val="21"/>
        </w:rPr>
        <w:t xml:space="preserve">
       3.  跨学科发展路径（45学分）
      </w:t>
      </w:r>
    </w:p>
    <w:p>
      <w:pPr>
        <w:spacing w:after="0"/>
        <w:ind w:left="0"/>
        <w:jc w:val="left"/>
      </w:pPr>
      <w:r>
        <w:rPr>
          <w:rFonts w:ascii="SimSun" w:hAnsi="SimSun"/>
          <w:b w:val="false"/>
          <w:i w:val="false"/>
          <w:color w:val="000000"/>
          <w:sz w:val="21"/>
        </w:rPr>
        <w:t xml:space="preserve">
       修满45学分。要求在专业进阶模块I修读20学分（研究生课程不少于10学分）、专业进阶模块II修读10学分、1个非本专业独立开设的微专业（学程）。微专业（学程）课程详见教务处微专业项目网页。  
      </w:t>
      </w:r>
    </w:p>
    <w:p>
      <w:pPr>
        <w:spacing w:after="0"/>
        <w:ind w:left="0"/>
        <w:jc w:val="left"/>
      </w:pPr>
      <w:r>
        <w:rPr>
          <w:rFonts w:ascii="SimSun" w:hAnsi="SimSun"/>
          <w:b/>
          <w:i w:val="false"/>
          <w:color w:val="000000"/>
          <w:sz w:val="21"/>
        </w:rPr>
        <w:t xml:space="preserve">
       4.  创新创业路径（45学分）
      </w:t>
      </w:r>
    </w:p>
    <w:p>
      <w:pPr>
        <w:spacing w:after="0"/>
        <w:ind w:left="0"/>
        <w:jc w:val="left"/>
      </w:pPr>
      <w:r>
        <w:rPr>
          <w:rFonts w:ascii="SimSun" w:hAnsi="SimSun"/>
          <w:b w:val="false"/>
          <w:i w:val="false"/>
          <w:color w:val="000000"/>
          <w:sz w:val="21"/>
        </w:rPr>
        <w:t xml:space="preserve">
       修满45学分。要求在专业进阶模块I修读20学分（研究生课程不少于10学分）、专业进阶模块II修读10学分和1个创新创业学院开设的创新创业微专业（学程）。创新创业微专业（学程）课程详见教务处微专业项目网页。
      </w:t>
      </w:r>
    </w:p>
    <w:p>
      <w:pPr>
        <w:spacing w:after="0"/>
        <w:ind w:left="0"/>
        <w:jc w:val="left"/>
      </w:pPr>
      <w:r>
        <w:rPr>
          <w:rFonts w:ascii="SimSun" w:hAnsi="SimSun"/>
          <w:b/>
          <w:i w:val="false"/>
          <w:color w:val="000000"/>
          <w:sz w:val="21"/>
        </w:rPr>
        <w:t xml:space="preserve">
       5.  辅修学士学位路径（70学分）
      </w:t>
      </w:r>
    </w:p>
    <w:p>
      <w:pPr>
        <w:spacing w:after="0"/>
        <w:ind w:left="0"/>
        <w:jc w:val="left"/>
      </w:pPr>
      <w:r>
        <w:rPr>
          <w:rFonts w:ascii="SimSun" w:hAnsi="SimSun"/>
          <w:b w:val="false"/>
          <w:i w:val="false"/>
          <w:color w:val="000000"/>
          <w:sz w:val="21"/>
        </w:rPr>
        <w:t xml:space="preserve">
       修满70学分。要求在专业进阶模块I修读20学分（研究生课程不少于10学分）、专业进阶模块II修读10学分和1个辅修学士学位项目，辅修学士学位应与主修学士学位归属不同的本科专业大类。辅修学士学位项目课程设置详见教务处辅修学士学位项目网页。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val="false"/>
          <w:i w:val="false"/>
          <w:color w:val="000000"/>
          <w:sz w:val="21"/>
        </w:rPr>
        <w:t xml:space="preserve">
       专业培养和多元发展路径共享的课程只计算一次学分。
      </w:t>
      </w:r>
    </w:p>
    <w:p>
      <w:pPr>
        <w:spacing w:after="0"/>
        <w:ind w:left="0"/>
        <w:jc w:val="left"/>
      </w:pPr>
      <w:r>
        <w:rPr>
          <w:rFonts w:ascii="SimSun" w:hAnsi="SimSun"/>
          <w:b/>
          <w:i w:val="false"/>
          <w:color w:val="000000"/>
          <w:sz w:val="21"/>
        </w:rPr>
        <w:t xml:space="preserve">
       (四) 融合创新能力（17学分）
      </w:t>
      </w:r>
    </w:p>
    <w:p>
      <w:pPr>
        <w:spacing w:after="0"/>
        <w:ind w:left="0"/>
        <w:jc w:val="left"/>
      </w:pPr>
      <w:r>
        <w:rPr>
          <w:rFonts w:ascii="SimSun" w:hAnsi="SimSun"/>
          <w:b w:val="false"/>
          <w:i w:val="false"/>
          <w:color w:val="000000"/>
          <w:sz w:val="21"/>
        </w:rPr>
        <w:t xml:space="preserve">
       本科学段需完成至少11学分（必修7学分，选修4学分）。       
       </w:t>
      </w:r>
      <w:r>
        <w:br/>
      </w:r>
      <w:r>
        <w:rPr>
          <w:rFonts w:ascii="SimSun" w:hAnsi="SimSun"/>
          <w:b w:val="false"/>
          <w:i w:val="false"/>
          <w:color w:val="000000"/>
          <w:sz w:val="21"/>
        </w:rPr>
        <w:t xml:space="preserve">研究生学段需完成至少6学分（必修4学分，选修2学分），并完成无学分必修培养环节要求。    
       </w:t>
      </w:r>
      <w:r>
        <w:br/>
      </w:r>
      <w:r>
        <w:rPr>
          <w:rFonts w:ascii="SimSun" w:hAnsi="SimSun"/>
          <w:b w:val="false"/>
          <w:i w:val="false"/>
          <w:color w:val="000000"/>
          <w:sz w:val="21"/>
        </w:rPr>
        <w:t xml:space="preserve">
      </w:t>
      </w:r>
    </w:p>
    <w:tbl>
      <w:tblPr>
        <w:tblW w:w="0" w:type="auto"/>
        <w:tblCellSpacing w:w="0" w:type="auto"/>
        <w:tblBorders>
          <w:top w:val="none"/>
          <w:left w:val="none"/>
          <w:bottom w:val="none"/>
          <w:right w:val="none"/>
          <w:insideH w:val="none"/>
          <w:insideV w:val="none"/>
        </w:tblBorders>
      </w:tblPr>
      <w:tblGrid>
        <w:gridCol w:w="2726"/>
        <w:gridCol w:w="681"/>
        <w:gridCol w:w="681"/>
        <w:gridCol w:w="954"/>
        <w:gridCol w:w="1538"/>
        <w:gridCol w:w="681"/>
        <w:gridCol w:w="681"/>
        <w:gridCol w:w="681"/>
        <w:gridCol w:w="681"/>
        <w:gridCol w:w="954"/>
        <w:gridCol w:w="1363"/>
        <w:gridCol w:w="2013"/>
      </w:tblGrid>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63"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前沿讲座</w:t>
            </w:r>
            <w:r>
              <w:br/>
            </w:r>
            <w:r>
              <w:rPr>
                <w:rFonts w:ascii="SimSun" w:hAnsi="SimSun"/>
                <w:b w:val="false"/>
                <w:i w:val="false"/>
                <w:color w:val="000000"/>
                <w:sz w:val="21"/>
              </w:rPr>
              <w:t>Frontier Lectures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（本科学段）前沿讲座(不少于10场），需提交学习报告。</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w:t>
            </w:r>
            <w:r>
              <w:br/>
            </w:r>
            <w:r>
              <w:rPr>
                <w:rFonts w:ascii="SimSun" w:hAnsi="SimSun"/>
                <w:b w:val="false"/>
                <w:i w:val="false"/>
                <w:color w:val="000000"/>
                <w:sz w:val="21"/>
              </w:rPr>
              <w:t>Research Practice I</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同位素考古实验训练（根据实际由教师招募，建议修读学期7/8）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w:t>
            </w:r>
            <w:r>
              <w:br/>
            </w:r>
            <w:r>
              <w:rPr>
                <w:rFonts w:ascii="SimSun" w:hAnsi="SimSun"/>
                <w:b w:val="false"/>
                <w:i w:val="false"/>
                <w:color w:val="000000"/>
                <w:sz w:val="21"/>
              </w:rPr>
              <w:t>Research Practice II</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人骨考古实验训练（根据实际由教师招募，建议修读学期7/8）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科研实践III</w:t>
            </w:r>
            <w:r>
              <w:br/>
            </w:r>
            <w:r>
              <w:rPr>
                <w:rFonts w:ascii="SimSun" w:hAnsi="SimSun"/>
                <w:b w:val="false"/>
                <w:i w:val="false"/>
                <w:color w:val="000000"/>
                <w:sz w:val="21"/>
              </w:rPr>
              <w:t>Research Practice III</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动物考古实验训练（根据实际由教师招募，建议修读学期7/8）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科研实践Ⅳ</w:t>
            </w:r>
            <w:r>
              <w:br/>
            </w:r>
            <w:r>
              <w:rPr>
                <w:rFonts w:ascii="SimSun" w:hAnsi="SimSun"/>
                <w:b w:val="false"/>
                <w:i w:val="false"/>
                <w:color w:val="000000"/>
                <w:sz w:val="21"/>
              </w:rPr>
              <w:t>Research Practice IV</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植物考古实验训练（根据实际由教师招募，建议修读学期7/8）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科研实践Ⅴ</w:t>
            </w:r>
            <w:r>
              <w:br/>
            </w:r>
            <w:r>
              <w:rPr>
                <w:rFonts w:ascii="SimSun" w:hAnsi="SimSun"/>
                <w:b w:val="false"/>
                <w:i w:val="false"/>
                <w:color w:val="000000"/>
                <w:sz w:val="21"/>
              </w:rPr>
              <w:t>Research Practice V</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环境考古实验训练（根据实际由教师招募，建议修读学期7/8）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科研实践Ⅵ</w:t>
            </w:r>
            <w:r>
              <w:br/>
            </w:r>
            <w:r>
              <w:rPr>
                <w:rFonts w:ascii="SimSun" w:hAnsi="SimSun"/>
                <w:b w:val="false"/>
                <w:i w:val="false"/>
                <w:color w:val="000000"/>
                <w:sz w:val="21"/>
              </w:rPr>
              <w:t>Research Practice VI</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文物保护实验训练（根据实际由教师招募，建议修读学期7/8）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科研实践Ⅶ</w:t>
            </w:r>
            <w:r>
              <w:br/>
            </w:r>
            <w:r>
              <w:rPr>
                <w:rFonts w:ascii="SimSun" w:hAnsi="SimSun"/>
                <w:b w:val="false"/>
                <w:i w:val="false"/>
                <w:color w:val="000000"/>
                <w:sz w:val="21"/>
              </w:rPr>
              <w:t>Research Practice VII</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田野考古提升训练（根据实际由教师招募，建议修读学期7/8）</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（本科学段）学生需主持完成复芏计划（FDUROP）项目，详见复旦大学本科生学术研究资助计划管理办法。</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段学术活动（前沿讲座不少于12场）、博士学段学术交流（学术报告不少于2次）。两次博资考不通过者转学硕，则完成相应学术硕士要求的学术活动：学术硕士学术活动（前沿讲座不少于10场）、学术硕士学术交流（学术报告至少1次）。</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博士阶段专业实践。两次博资考不通过者转学硕完成相应要求的学术硕士专业实践。</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博士生资格考核</w:t>
            </w:r>
            <w:r>
              <w:br/>
            </w:r>
            <w:r>
              <w:rPr>
                <w:rFonts w:ascii="SimSun" w:hAnsi="SimSun"/>
                <w:b w:val="false"/>
                <w:i w:val="false"/>
                <w:color w:val="000000"/>
                <w:sz w:val="21"/>
              </w:rPr>
              <w:t>Doctoral Candidacy Examination</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博士生资格考试。第10学期期末可申请参加，不通过者第12学期期末参加第二次，两次不通过者转为学术学位硕士学段，不通过者增加2年学习时间至硕士毕业。</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w:t>
            </w:r>
            <w:r>
              <w:br/>
            </w:r>
            <w:r>
              <w:rPr>
                <w:rFonts w:ascii="SimSun" w:hAnsi="SimSun"/>
                <w:b w:val="false"/>
                <w:i w:val="false"/>
                <w:color w:val="000000"/>
                <w:sz w:val="21"/>
              </w:rPr>
              <w:t>Doctoral Dissertation Proposal</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博士学位论文开题。通过博资考后可申请，详见文博系博士论文开题实施细则。</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博士论文中期考核</w:t>
            </w:r>
            <w:r>
              <w:br/>
            </w:r>
            <w:r>
              <w:rPr>
                <w:rFonts w:ascii="SimSun" w:hAnsi="SimSun"/>
                <w:b w:val="false"/>
                <w:i w:val="false"/>
                <w:color w:val="000000"/>
                <w:sz w:val="21"/>
              </w:rPr>
              <w:t>Doctoral Dissertation Mid-Term Review</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博士生中期考核。具体要求详见文博系博士论文中期实施细则。</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w:t>
            </w:r>
            <w:r>
              <w:br/>
            </w:r>
            <w:r>
              <w:rPr>
                <w:rFonts w:ascii="SimSun" w:hAnsi="SimSun"/>
                <w:b w:val="false"/>
                <w:i w:val="false"/>
                <w:color w:val="000000"/>
                <w:sz w:val="21"/>
              </w:rPr>
              <w:t>Doctoral Dissertation Pre-Review</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博士学位论文预答辩。具体要求详见文博系博士论文预答辩实施细则。</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学年论文</w:t>
            </w:r>
            <w:r>
              <w:br/>
            </w:r>
            <w:r>
              <w:rPr>
                <w:rFonts w:ascii="SimSun" w:hAnsi="SimSun"/>
                <w:b w:val="false"/>
                <w:i w:val="false"/>
                <w:color w:val="000000"/>
                <w:sz w:val="21"/>
              </w:rPr>
              <w:t>Junior Thesis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18.0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ARCH30006</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纸质文物修复</w:t>
            </w:r>
            <w:r>
              <w:br/>
            </w:r>
            <w:r>
              <w:rPr>
                <w:rFonts w:ascii="SimSun" w:hAnsi="SimSun"/>
                <w:b w:val="false"/>
                <w:i w:val="false"/>
                <w:color w:val="000000"/>
                <w:sz w:val="21"/>
              </w:rPr>
              <w:t>Restoration of Paper</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陶瓷工艺的理论与实践</w:t>
            </w:r>
            <w:r>
              <w:br/>
            </w:r>
            <w:r>
              <w:rPr>
                <w:rFonts w:ascii="SimSun" w:hAnsi="SimSun"/>
                <w:b w:val="false"/>
                <w:i w:val="false"/>
                <w:color w:val="000000"/>
                <w:sz w:val="21"/>
              </w:rPr>
              <w:t>Theory and practice of ceramic making technology</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CULT60028</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建议本博融通第4年修读</w:t>
            </w: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ARCH40004</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0" w:type="auto"/>
            <w:vMerge/>
            <w:tcBorders>
              <w:top w:val="nil"/>
              <w:left w:val="single" w:color="000000" w:sz="8"/>
              <w:right w:val="single" w:color="000000" w:sz="8"/>
            </w:tcBorders>
          </w:tcPr>
          <w:p/>
        </w:tc>
        <w:tc>
          <w:tcPr>
            <w:tcW w:w="201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72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古陶瓷修复</w:t>
            </w:r>
            <w:r>
              <w:br/>
            </w:r>
            <w:r>
              <w:rPr>
                <w:rFonts w:ascii="SimSun" w:hAnsi="SimSun"/>
                <w:b w:val="false"/>
                <w:i w:val="false"/>
                <w:color w:val="000000"/>
                <w:sz w:val="21"/>
              </w:rPr>
              <w:t>Restoration of Ancient Ceramics</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CULT30014</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10.0</w:t>
            </w:r>
          </w:p>
        </w:tc>
        <w:tc>
          <w:tcPr>
            <w:tcW w:w="68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春,秋</w:t>
            </w:r>
          </w:p>
        </w:tc>
        <w:tc>
          <w:tcPr>
            <w:tcW w:w="95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63"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272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公众考古学</w:t>
            </w:r>
            <w:r>
              <w:br/>
            </w:r>
            <w:r>
              <w:rPr>
                <w:rFonts w:ascii="SimSun" w:hAnsi="SimSun"/>
                <w:b w:val="false"/>
                <w:i w:val="false"/>
                <w:color w:val="000000"/>
                <w:sz w:val="21"/>
              </w:rPr>
              <w:t>Public Archaeology</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5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53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CULT60012</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7,8</w:t>
            </w:r>
          </w:p>
        </w:tc>
        <w:tc>
          <w:tcPr>
            <w:tcW w:w="95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jpeg" Type="http://schemas.openxmlformats.org/officeDocument/2006/relationships/image" Id="rId5"/>
   <Relationship Target="media/document_image_rId6.jpeg" Type="http://schemas.openxmlformats.org/officeDocument/2006/relationships/image" Id="rId6"/>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