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2026德语-计算机科学与技术双学士学位项目培养方案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的德语教学历史悠久，1970年代起进入发展新阶段。复旦大学德文系是最早获得德语语言文学硕士学位授予权的系科之一，现在已形成本硕博的完整教育体系。德语系在教学、科研、国际交流等方面均居国内领先地位。著名日耳曼学家和翻译家、德国一级十字勋章获得者董问樵教授曾在此任教。德语系和德国、奥地利许多著名大学有长期密切的交流关系，多次举办和参加国际学术会议，经常邀请德语国家学者、作家等前来举办讲座。德语系教师主持多项国社科基金和教育部项目，发表大量译著、专著和高质量学术论文。德语专业现为国家级一流本科专业。</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专业对接国家“新文科”“新工科”建设的需求，旨在培养德智体美劳全面发展，具有扎实语言功底、良好人文素养、宽阔国际视野，培养通晓德语语言学和文学专业知识，具备高水准的德语交际技能，兼具计算机科学跨学科背景、符合国家建设和社会发展所需要的复合型拔尖创新人才。</w:t>
      </w:r>
      <w:r>
        <w:br/>
      </w:r>
      <w:r>
        <w:rPr>
          <w:rFonts w:ascii="SimSun" w:hAnsi="SimSun"/>
          <w:b w:val="false"/>
          <w:i w:val="false"/>
          <w:color w:val="000000"/>
          <w:sz w:val="21"/>
        </w:rPr>
        <w:t>要求学生掌握德语语言学和文学基础知识；具有较强的跨文化交际能力；具有扎实的德语语言基础和较熟练的听、说、读、写、译能力；具有良好的汉语表达能力和基本调研能力；具有扎实的计算机软、硬件基本理论、基本知识和基本实践技能；具有能够将数字工具和理论运用到语言信息处理、人工智能开发、数字人文研究等跨学科领域的创新意识和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6230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62306"/>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 修业年限：4年（类型：♦本科、□本硕、□本博）</w:t>
      </w:r>
    </w:p>
    <w:p>
      <w:pPr>
        <w:spacing w:after="0"/>
        <w:ind w:left="0"/>
        <w:jc w:val="left"/>
      </w:pPr>
      <w:r>
        <w:rPr>
          <w:rFonts w:ascii="SimSun" w:hAnsi="SimSun"/>
          <w:b w:val="false"/>
          <w:i w:val="false"/>
          <w:color w:val="000000"/>
          <w:sz w:val="21"/>
        </w:rPr>
        <w:t>2. 学位授予说明：</w:t>
      </w:r>
    </w:p>
    <w:p>
      <w:pPr>
        <w:spacing w:after="0"/>
        <w:ind w:left="0"/>
        <w:jc w:val="left"/>
      </w:pPr>
      <w:r>
        <w:drawing>
          <wp:inline distT="0" distB="0" distL="0" distR="0">
            <wp:extent cx="5732145" cy="194381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43819"/>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746532"/>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746532"/>
                    </a:xfrm>
                    <a:prstGeom prst="rect">
                      <a:avLst/>
                    </a:prstGeom>
                  </pic:spPr>
                </pic:pic>
              </a:graphicData>
            </a:graphic>
          </wp:inline>
        </w:drawing>
      </w:r>
    </w:p>
    <w:p>
      <w:pPr>
        <w:spacing w:after="0"/>
        <w:ind w:left="0"/>
        <w:jc w:val="left"/>
      </w:pPr>
      <w:r>
        <w:rPr>
          <w:rFonts w:ascii="SimSun" w:hAnsi="SimSun"/>
          <w:b w:val="false"/>
          <w:i w:val="false"/>
          <w:color w:val="000000"/>
          <w:sz w:val="21"/>
        </w:rPr>
        <w:t>1. 专业进阶路径：175学分</w:t>
      </w:r>
    </w:p>
    <w:p>
      <w:pPr>
        <w:spacing w:after="0"/>
        <w:ind w:left="0"/>
        <w:jc w:val="left"/>
      </w:pPr>
      <w:r>
        <w:rPr>
          <w:rFonts w:ascii="SimSun" w:hAnsi="SimSun"/>
          <w:b w:val="false"/>
          <w:i w:val="false"/>
          <w:color w:val="000000"/>
          <w:sz w:val="21"/>
        </w:rPr>
        <w:t>本路径学生需要完成175学分（含实践学分不低于27学分；含美育学分不少于2学分，其中至少在“美学和艺术史论类”或“艺术鉴赏和评论类”课程中修读1学分，并至少参与一项艺术实践活动；劳动教育不少于32学时，并满足劳动周教育要求），包括通识教育课程38学分、专业培养课程113学分、专业进阶课程18分、融合创新能力模块6学分。</w:t>
      </w:r>
    </w:p>
    <w:p>
      <w:pPr>
        <w:spacing w:after="0"/>
        <w:ind w:left="0"/>
        <w:jc w:val="left"/>
      </w:pPr>
      <w:r>
        <w:rPr>
          <w:rFonts w:ascii="SimSun" w:hAnsi="SimSun"/>
          <w:b w:val="false"/>
          <w:i w:val="false"/>
          <w:color w:val="000000"/>
          <w:sz w:val="21"/>
        </w:rPr>
        <w:t>2. 本科荣誉项目：175学分</w:t>
      </w:r>
    </w:p>
    <w:p>
      <w:pPr>
        <w:spacing w:after="0"/>
        <w:ind w:left="0"/>
        <w:jc w:val="left"/>
      </w:pPr>
      <w:r>
        <w:rPr>
          <w:rFonts w:ascii="SimSun" w:hAnsi="SimSun"/>
          <w:b w:val="false"/>
          <w:i w:val="false"/>
          <w:color w:val="000000"/>
          <w:sz w:val="21"/>
        </w:rPr>
        <w:t xml:space="preserve">在专业进阶路径基础上，修读荣誉课程不少于6门课。荣誉项目课程设置和修读要求请见德语专业“本科荣誉项目”实施方案。下载地址：https://jwc.fudan.edu.cn/（复旦大学教务处）专业培养-常用文档。 </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4年级结束时，如达到学士学位要求者授予文学、理学学士学位。  </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（3）在此基础上，达到德语专业“本科荣誉证书”获得条件的授予“本科荣誉证书”，具体要求请见德语专业“本科荣誉项目”实施方案。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25246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2252469"/>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德语语言能力训练和计算机科学技术知识及素养培育的课程为基础建立了德语+计算机科学与技术双学士学位核心课程体系，以研究领域为横、课程内容梯度为纵建立了难度逐级提升的本研融通的专业进阶课程体系。体系中有3门课程开设了荣誉项目版本，鼓励学生修读，挑战自我。</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鼓励并指导学生参与各类德语语言文化能力竞赛，引导学生进入系内教师课题组轮转，培育科研兴趣。通过复芏计划等项目引导学生在“做中学、学中悟、悟中创”，激发创新志趣。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通识教育课程（38学分）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与创新课模块16学分，七大模块课程8学分（七大模块8学分中每模块最多修读1门课，除第七模块"艺术创作与审美体验"外，修读时须回避双学位专业所属两个院系开设的课程），大学生国家安全教育1学分。
      </w:t>
      </w:r>
    </w:p>
    <w:p>
      <w:pPr>
        <w:spacing w:after="0"/>
        <w:ind w:left="0"/>
        <w:jc w:val="left"/>
      </w:pPr>
      <w:r>
        <w:rPr>
          <w:rFonts w:ascii="SimSun" w:hAnsi="SimSun"/>
          <w:b/>
          <w:i w:val="false"/>
          <w:color w:val="000000"/>
          <w:sz w:val="21"/>
        </w:rPr>
        <w:t xml:space="preserve">
       2.  通识教育专项教育课程（13学分）
      </w:t>
      </w:r>
    </w:p>
    <w:p>
      <w:pPr>
        <w:spacing w:after="0"/>
        <w:ind w:left="0"/>
        <w:jc w:val="left"/>
      </w:pPr>
      <w:r>
        <w:rPr>
          <w:rFonts w:ascii="SimSun" w:hAnsi="SimSun"/>
          <w:b w:val="false"/>
          <w:i w:val="false"/>
          <w:color w:val="000000"/>
          <w:sz w:val="21"/>
        </w:rPr>
        <w:t xml:space="preserve">
       要求修读13学分（人工智能教学专项课程除外）。具体请参见专项教育课程列表。
      </w:t>
      </w:r>
    </w:p>
    <w:p>
      <w:pPr>
        <w:spacing w:after="0"/>
        <w:ind w:left="0"/>
        <w:jc w:val="left"/>
      </w:pPr>
      <w:r>
        <w:rPr>
          <w:rFonts w:ascii="SimSun" w:hAnsi="SimSun"/>
          <w:b/>
          <w:i w:val="false"/>
          <w:color w:val="000000"/>
          <w:sz w:val="21"/>
        </w:rPr>
        <w:t xml:space="preserve">
       (二) 专业培养课程（113学分）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学科基础课程（27学分）
      </w:t>
      </w:r>
    </w:p>
    <w:p>
      <w:pPr>
        <w:spacing w:after="0"/>
        <w:ind w:left="0"/>
        <w:jc w:val="left"/>
      </w:pPr>
      <w:r>
        <w:rPr>
          <w:rFonts w:ascii="SimSun" w:hAnsi="SimSun"/>
          <w:b w:val="false"/>
          <w:i w:val="false"/>
          <w:color w:val="000000"/>
          <w:sz w:val="21"/>
        </w:rPr>
        <w:t xml:space="preserve">
       要求修读27学分。学生应在学科基础课程中的人文基础理论课程（跨院系必修）中修满6学分（课程为“中国文学经典”“中国古代文明”）；在人文基础理论课程（跨院系选修）中修读2学分。在工学基础课程中修满19学分（课程为“微积分A I”“微积分A II”“线性代数B”“程序设计”）。学科基础课程应在一二年级修完。
      </w:t>
      </w:r>
    </w:p>
    <w:p>
      <w:pPr>
        <w:spacing w:after="0"/>
        <w:ind w:left="0"/>
        <w:jc w:val="left"/>
      </w:pPr>
      <w:r>
        <w:rPr>
          <w:rFonts w:ascii="SimSun" w:hAnsi="SimSun"/>
          <w:b/>
          <w:i w:val="false"/>
          <w:color w:val="000000"/>
          <w:sz w:val="21"/>
        </w:rPr>
        <w:t xml:space="preserve">
       (1) 人文基础课程（8学分）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工学基础课程（19学分）
      </w:t>
      </w:r>
    </w:p>
    <w:tbl>
      <w:tblPr>
        <w:tblW w:w="0" w:type="auto"/>
        <w:tblCellSpacing w:w="0" w:type="auto"/>
        <w:tblBorders>
          <w:top w:val="none"/>
          <w:left w:val="none"/>
          <w:bottom w:val="none"/>
          <w:right w:val="none"/>
          <w:insideH w:val="none"/>
          <w:insideV w:val="none"/>
        </w:tblBorders>
      </w:tblPr>
      <w:tblGrid>
        <w:gridCol w:w="3191"/>
        <w:gridCol w:w="797"/>
        <w:gridCol w:w="806"/>
        <w:gridCol w:w="1117"/>
        <w:gridCol w:w="1818"/>
        <w:gridCol w:w="797"/>
        <w:gridCol w:w="797"/>
        <w:gridCol w:w="798"/>
        <w:gridCol w:w="798"/>
        <w:gridCol w:w="1117"/>
        <w:gridCol w:w="1598"/>
      </w:tblGrid>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微积分AⅠ</w:t>
            </w:r>
            <w:r>
              <w:br/>
            </w:r>
            <w:r>
              <w:rPr>
                <w:rFonts w:ascii="SimSun" w:hAnsi="SimSun"/>
                <w:b w:val="false"/>
                <w:i w:val="false"/>
                <w:color w:val="000000"/>
                <w:sz w:val="21"/>
              </w:rPr>
              <w:t>Calculus A 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MATH10026</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程序设计</w:t>
            </w:r>
            <w:r>
              <w:br/>
            </w:r>
            <w:r>
              <w:rPr>
                <w:rFonts w:ascii="SimSun" w:hAnsi="SimSun"/>
                <w:b w:val="false"/>
                <w:i w:val="false"/>
                <w:color w:val="000000"/>
                <w:sz w:val="21"/>
              </w:rPr>
              <w:t>Programming</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CS10004</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线性代数B</w:t>
            </w:r>
            <w:r>
              <w:br/>
            </w:r>
            <w:r>
              <w:rPr>
                <w:rFonts w:ascii="SimSun" w:hAnsi="SimSun"/>
                <w:b w:val="false"/>
                <w:i w:val="false"/>
                <w:color w:val="000000"/>
                <w:sz w:val="21"/>
              </w:rPr>
              <w:t>Linear Algebra B</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MATH10032</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微积分AⅡ</w:t>
            </w:r>
            <w:r>
              <w:br/>
            </w:r>
            <w:r>
              <w:rPr>
                <w:rFonts w:ascii="SimSun" w:hAnsi="SimSun"/>
                <w:b w:val="false"/>
                <w:i w:val="false"/>
                <w:color w:val="000000"/>
                <w:sz w:val="21"/>
              </w:rPr>
              <w:t>Calculus A Ⅱ</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MATH10027</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专业核心教育课程（86学分）
      </w:t>
      </w:r>
    </w:p>
    <w:p>
      <w:pPr>
        <w:spacing w:after="0"/>
        <w:ind w:left="0"/>
        <w:jc w:val="left"/>
      </w:pPr>
      <w:r>
        <w:rPr>
          <w:rFonts w:ascii="SimSun" w:hAnsi="SimSun"/>
          <w:b w:val="false"/>
          <w:i w:val="false"/>
          <w:color w:val="000000"/>
          <w:sz w:val="21"/>
        </w:rPr>
        <w:t xml:space="preserve">
       要求修读86学分（部分课程学分可用荣誉课程学分替换）。
      </w:t>
      </w:r>
    </w:p>
    <w:p>
      <w:pPr>
        <w:spacing w:after="0"/>
        <w:ind w:left="0"/>
        <w:jc w:val="left"/>
      </w:pPr>
      <w:r>
        <w:rPr>
          <w:rFonts w:ascii="SimSun" w:hAnsi="SimSun"/>
          <w:b/>
          <w:i w:val="false"/>
          <w:color w:val="000000"/>
          <w:sz w:val="21"/>
        </w:rPr>
        <w:t xml:space="preserve">
       (1) A组（48学分）
      </w:t>
      </w:r>
    </w:p>
    <w:tbl>
      <w:tblPr>
        <w:tblW w:w="0" w:type="auto"/>
        <w:tblCellSpacing w:w="0" w:type="auto"/>
        <w:tblBorders>
          <w:top w:val="none"/>
          <w:left w:val="none"/>
          <w:bottom w:val="none"/>
          <w:right w:val="none"/>
          <w:insideH w:val="none"/>
          <w:insideV w:val="none"/>
        </w:tblBorders>
      </w:tblPr>
      <w:tblGrid>
        <w:gridCol w:w="3217"/>
        <w:gridCol w:w="804"/>
        <w:gridCol w:w="813"/>
        <w:gridCol w:w="1126"/>
        <w:gridCol w:w="1722"/>
        <w:gridCol w:w="804"/>
        <w:gridCol w:w="804"/>
        <w:gridCol w:w="804"/>
        <w:gridCol w:w="804"/>
        <w:gridCol w:w="1126"/>
        <w:gridCol w:w="1610"/>
      </w:tblGrid>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基础德语（精读）（上）</w:t>
            </w:r>
            <w:r>
              <w:br/>
            </w:r>
            <w:r>
              <w:rPr>
                <w:rFonts w:ascii="SimSun" w:hAnsi="SimSun"/>
                <w:b w:val="false"/>
                <w:i w:val="false"/>
                <w:color w:val="000000"/>
                <w:sz w:val="21"/>
              </w:rPr>
              <w:t>Basic German (Intensive Reading)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基础德语（语法）（上）</w:t>
            </w:r>
            <w:r>
              <w:br/>
            </w:r>
            <w:r>
              <w:rPr>
                <w:rFonts w:ascii="SimSun" w:hAnsi="SimSun"/>
                <w:b w:val="false"/>
                <w:i w:val="false"/>
                <w:color w:val="000000"/>
                <w:sz w:val="21"/>
              </w:rPr>
              <w:t>Basic German (Grammar)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基础德语（精读）（下）</w:t>
            </w:r>
            <w:r>
              <w:br/>
            </w:r>
            <w:r>
              <w:rPr>
                <w:rFonts w:ascii="SimSun" w:hAnsi="SimSun"/>
                <w:b w:val="false"/>
                <w:i w:val="false"/>
                <w:color w:val="000000"/>
                <w:sz w:val="21"/>
              </w:rPr>
              <w:t>Basic German (Intensive Reading)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基础德语（语法）（下）</w:t>
            </w:r>
            <w:r>
              <w:br/>
            </w:r>
            <w:r>
              <w:rPr>
                <w:rFonts w:ascii="SimSun" w:hAnsi="SimSun"/>
                <w:b w:val="false"/>
                <w:i w:val="false"/>
                <w:color w:val="000000"/>
                <w:sz w:val="21"/>
              </w:rPr>
              <w:t>Basic German (Grammar)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德语媒介与交际I</w:t>
            </w:r>
            <w:r>
              <w:br/>
            </w:r>
            <w:r>
              <w:rPr>
                <w:rFonts w:ascii="SimSun" w:hAnsi="SimSun"/>
                <w:b w:val="false"/>
                <w:i w:val="false"/>
                <w:color w:val="000000"/>
                <w:sz w:val="21"/>
              </w:rPr>
              <w:t>German Media and Communication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中级德语（上）</w:t>
            </w:r>
            <w:r>
              <w:br/>
            </w:r>
            <w:r>
              <w:rPr>
                <w:rFonts w:ascii="SimSun" w:hAnsi="SimSun"/>
                <w:b w:val="false"/>
                <w:i w:val="false"/>
                <w:color w:val="000000"/>
                <w:sz w:val="21"/>
              </w:rPr>
              <w:t>Intermediate German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德语媒介与交际II</w:t>
            </w:r>
            <w:r>
              <w:br/>
            </w:r>
            <w:r>
              <w:rPr>
                <w:rFonts w:ascii="SimSun" w:hAnsi="SimSun"/>
                <w:b w:val="false"/>
                <w:i w:val="false"/>
                <w:color w:val="000000"/>
                <w:sz w:val="21"/>
              </w:rPr>
              <w:t>German Media and Communication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FORE20033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德语写作I</w:t>
            </w:r>
            <w:r>
              <w:br/>
            </w:r>
            <w:r>
              <w:rPr>
                <w:rFonts w:ascii="SimSun" w:hAnsi="SimSun"/>
                <w:b w:val="false"/>
                <w:i w:val="false"/>
                <w:color w:val="000000"/>
                <w:sz w:val="21"/>
              </w:rPr>
              <w:t>German Writing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FORE20035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中级德语（下）</w:t>
            </w:r>
            <w:r>
              <w:br/>
            </w:r>
            <w:r>
              <w:rPr>
                <w:rFonts w:ascii="SimSun" w:hAnsi="SimSun"/>
                <w:b w:val="false"/>
                <w:i w:val="false"/>
                <w:color w:val="000000"/>
                <w:sz w:val="21"/>
              </w:rPr>
              <w:t>Intermediate German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融入《理解当代中国》德语读写教程</w:t>
            </w: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德语写作II</w:t>
            </w:r>
            <w:r>
              <w:br/>
            </w:r>
            <w:r>
              <w:rPr>
                <w:rFonts w:ascii="SimSun" w:hAnsi="SimSun"/>
                <w:b w:val="false"/>
                <w:i w:val="false"/>
                <w:color w:val="000000"/>
                <w:sz w:val="21"/>
              </w:rPr>
              <w:t>German Writing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FORE20036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翻译理论与翻译技巧（上）</w:t>
            </w:r>
            <w:r>
              <w:br/>
            </w:r>
            <w:r>
              <w:rPr>
                <w:rFonts w:ascii="SimSun" w:hAnsi="SimSun"/>
                <w:b w:val="false"/>
                <w:i w:val="false"/>
                <w:color w:val="000000"/>
                <w:sz w:val="21"/>
              </w:rPr>
              <w:t>Theories and Techniques of Translation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德语文学史及作品选读(上)</w:t>
            </w:r>
            <w:r>
              <w:br/>
            </w:r>
            <w:r>
              <w:rPr>
                <w:rFonts w:ascii="SimSun" w:hAnsi="SimSun"/>
                <w:b w:val="false"/>
                <w:i w:val="false"/>
                <w:color w:val="000000"/>
                <w:sz w:val="21"/>
              </w:rPr>
              <w:t>History of German Literature and Selected Readings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德语专业写作</w:t>
            </w:r>
            <w:r>
              <w:br/>
            </w:r>
            <w:r>
              <w:rPr>
                <w:rFonts w:ascii="SimSun" w:hAnsi="SimSun"/>
                <w:b w:val="false"/>
                <w:i w:val="false"/>
                <w:color w:val="000000"/>
                <w:sz w:val="21"/>
              </w:rPr>
              <w:t>German Professional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数字人文导论</w:t>
            </w:r>
            <w:r>
              <w:br/>
            </w:r>
            <w:r>
              <w:rPr>
                <w:rFonts w:ascii="SimSun" w:hAnsi="SimSun"/>
                <w:b w:val="false"/>
                <w:i w:val="false"/>
                <w:color w:val="000000"/>
                <w:sz w:val="21"/>
              </w:rPr>
              <w:t>Digital Humanities: An Introduction</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FORE50125</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B组（38学分）
      </w:t>
      </w:r>
    </w:p>
    <w:tbl>
      <w:tblPr>
        <w:tblW w:w="0" w:type="auto"/>
        <w:tblCellSpacing w:w="0" w:type="auto"/>
        <w:tblBorders>
          <w:top w:val="none"/>
          <w:left w:val="none"/>
          <w:bottom w:val="none"/>
          <w:right w:val="none"/>
          <w:insideH w:val="none"/>
          <w:insideV w:val="none"/>
        </w:tblBorders>
      </w:tblPr>
      <w:tblGrid>
        <w:gridCol w:w="3246"/>
        <w:gridCol w:w="811"/>
        <w:gridCol w:w="811"/>
        <w:gridCol w:w="1136"/>
        <w:gridCol w:w="1623"/>
        <w:gridCol w:w="811"/>
        <w:gridCol w:w="811"/>
        <w:gridCol w:w="811"/>
        <w:gridCol w:w="811"/>
        <w:gridCol w:w="1137"/>
        <w:gridCol w:w="1626"/>
      </w:tblGrid>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数字逻辑与部件设计</w:t>
            </w:r>
            <w:r>
              <w:br/>
            </w:r>
            <w:r>
              <w:rPr>
                <w:rFonts w:ascii="SimSun" w:hAnsi="SimSun"/>
                <w:b w:val="false"/>
                <w:i w:val="false"/>
                <w:color w:val="000000"/>
                <w:sz w:val="21"/>
              </w:rPr>
              <w:t>Digital Logic and Component Design</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数据结构</w:t>
            </w:r>
            <w:r>
              <w:br/>
            </w:r>
            <w:r>
              <w:rPr>
                <w:rFonts w:ascii="SimSun" w:hAnsi="SimSun"/>
                <w:b w:val="false"/>
                <w:i w:val="false"/>
                <w:color w:val="000000"/>
                <w:sz w:val="21"/>
              </w:rPr>
              <w:t>Data Structure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CS20009</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集合与图论</w:t>
            </w:r>
            <w:r>
              <w:br/>
            </w:r>
            <w:r>
              <w:rPr>
                <w:rFonts w:ascii="SimSun" w:hAnsi="SimSun"/>
                <w:b w:val="false"/>
                <w:i w:val="false"/>
                <w:color w:val="000000"/>
                <w:sz w:val="21"/>
              </w:rPr>
              <w:t>Set Theory and Graph Theory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CS30043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计算机系统基础</w:t>
            </w:r>
            <w:r>
              <w:br/>
            </w:r>
            <w:r>
              <w:rPr>
                <w:rFonts w:ascii="SimSun" w:hAnsi="SimSun"/>
                <w:b w:val="false"/>
                <w:i w:val="false"/>
                <w:color w:val="000000"/>
                <w:sz w:val="21"/>
              </w:rPr>
              <w:t>Principles of Computer System</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计算机组成与体系结构</w:t>
            </w:r>
            <w:r>
              <w:br/>
            </w:r>
            <w:r>
              <w:rPr>
                <w:rFonts w:ascii="SimSun" w:hAnsi="SimSun"/>
                <w:b w:val="false"/>
                <w:i w:val="false"/>
                <w:color w:val="000000"/>
                <w:sz w:val="21"/>
              </w:rPr>
              <w:t>Computer Organization and Architecture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CS30052</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算法设计与分析</w:t>
            </w:r>
            <w:r>
              <w:br/>
            </w:r>
            <w:r>
              <w:rPr>
                <w:rFonts w:ascii="SimSun" w:hAnsi="SimSun"/>
                <w:b w:val="false"/>
                <w:i w:val="false"/>
                <w:color w:val="000000"/>
                <w:sz w:val="21"/>
              </w:rPr>
              <w:t>Algorithm Design and Analysis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数据库系统</w:t>
            </w:r>
            <w:r>
              <w:br/>
            </w:r>
            <w:r>
              <w:rPr>
                <w:rFonts w:ascii="SimSun" w:hAnsi="SimSun"/>
                <w:b w:val="false"/>
                <w:i w:val="false"/>
                <w:color w:val="000000"/>
                <w:sz w:val="21"/>
              </w:rPr>
              <w:t>Database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操作系统</w:t>
            </w:r>
            <w:r>
              <w:br/>
            </w:r>
            <w:r>
              <w:rPr>
                <w:rFonts w:ascii="SimSun" w:hAnsi="SimSun"/>
                <w:b w:val="false"/>
                <w:i w:val="false"/>
                <w:color w:val="000000"/>
                <w:sz w:val="21"/>
              </w:rPr>
              <w:t>Operating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计算机网络</w:t>
            </w:r>
            <w:r>
              <w:br/>
            </w:r>
            <w:r>
              <w:rPr>
                <w:rFonts w:ascii="SimSun" w:hAnsi="SimSun"/>
                <w:b w:val="false"/>
                <w:i w:val="false"/>
                <w:color w:val="000000"/>
                <w:sz w:val="21"/>
              </w:rPr>
              <w:t>Computer Networks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模式识别与机器学习</w:t>
            </w:r>
            <w:r>
              <w:br/>
            </w:r>
            <w:r>
              <w:rPr>
                <w:rFonts w:ascii="SimSun" w:hAnsi="SimSun"/>
                <w:b w:val="false"/>
                <w:i w:val="false"/>
                <w:color w:val="000000"/>
                <w:sz w:val="21"/>
              </w:rPr>
              <w:t>Pattern Recognition &amp; Machine Learning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软件工程</w:t>
            </w:r>
            <w:r>
              <w:br/>
            </w:r>
            <w:r>
              <w:rPr>
                <w:rFonts w:ascii="SimSun" w:hAnsi="SimSun"/>
                <w:b w:val="false"/>
                <w:i w:val="false"/>
                <w:color w:val="000000"/>
                <w:sz w:val="21"/>
              </w:rPr>
              <w:t>Software Engineering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编译</w:t>
            </w:r>
            <w:r>
              <w:br/>
            </w:r>
            <w:r>
              <w:rPr>
                <w:rFonts w:ascii="SimSun" w:hAnsi="SimSun"/>
                <w:b w:val="false"/>
                <w:i w:val="false"/>
                <w:color w:val="000000"/>
                <w:sz w:val="21"/>
              </w:rPr>
              <w:t>Compilers</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CS30017</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i w:val="false"/>
          <w:color w:val="000000"/>
          <w:sz w:val="21"/>
        </w:rPr>
        <w:t xml:space="preserve">
       (1) 专业进阶课程（18学分）
      </w:t>
      </w:r>
    </w:p>
    <w:p>
      <w:pPr>
        <w:spacing w:after="0"/>
        <w:ind w:left="0"/>
        <w:jc w:val="left"/>
      </w:pPr>
      <w:r>
        <w:rPr>
          <w:rFonts w:ascii="SimSun" w:hAnsi="SimSun"/>
          <w:b w:val="false"/>
          <w:i w:val="false"/>
          <w:color w:val="000000"/>
          <w:sz w:val="21"/>
        </w:rPr>
        <w:t xml:space="preserve">
       修满18学分。其中A组课程为第一学位课程，修读8学分。B组为第二学位课程，修读10学分。专业进阶课程设置如下：
      </w:t>
      </w:r>
    </w:p>
    <w:p>
      <w:pPr>
        <w:spacing w:after="0"/>
        <w:ind w:left="0"/>
        <w:jc w:val="left"/>
      </w:pPr>
      <w:r>
        <w:rPr>
          <w:rFonts w:ascii="SimSun" w:hAnsi="SimSun"/>
          <w:b/>
          <w:i w:val="false"/>
          <w:color w:val="000000"/>
          <w:sz w:val="21"/>
        </w:rPr>
        <w:t xml:space="preserve">
       a) A组（8学分）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德语演讲（理解当代中国）</w:t>
            </w:r>
            <w:r>
              <w:br/>
            </w:r>
            <w:r>
              <w:rPr>
                <w:rFonts w:ascii="SimSun" w:hAnsi="SimSun"/>
                <w:b w:val="false"/>
                <w:i w:val="false"/>
                <w:color w:val="000000"/>
                <w:sz w:val="21"/>
              </w:rPr>
              <w:t>German Public Speaking (Understanding Contemporary China)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使用《理解当代中国》德语演讲教程</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自然语言处理与语言习得</w:t>
            </w:r>
            <w:r>
              <w:br/>
            </w:r>
            <w:r>
              <w:rPr>
                <w:rFonts w:ascii="SimSun" w:hAnsi="SimSun"/>
                <w:b w:val="false"/>
                <w:i w:val="false"/>
                <w:color w:val="000000"/>
                <w:sz w:val="21"/>
              </w:rPr>
              <w:t>Natural Language Processing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面向语言信息处理的语言逻辑理论</w:t>
            </w:r>
            <w:r>
              <w:br/>
            </w:r>
            <w:r>
              <w:rPr>
                <w:rFonts w:ascii="SimSun" w:hAnsi="SimSun"/>
                <w:b w:val="false"/>
                <w:i w:val="false"/>
                <w:color w:val="000000"/>
                <w:sz w:val="21"/>
              </w:rPr>
              <w:t>Natural Language Logic and Natural Language Processing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日耳曼学研究</w:t>
            </w:r>
            <w:r>
              <w:br/>
            </w:r>
            <w:r>
              <w:rPr>
                <w:rFonts w:ascii="SimSun" w:hAnsi="SimSun"/>
                <w:b w:val="false"/>
                <w:i w:val="false"/>
                <w:color w:val="000000"/>
                <w:sz w:val="21"/>
              </w:rPr>
              <w:t>Introduction to German Language and Literature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面向语言信息处理的句法理论</w:t>
            </w:r>
            <w:r>
              <w:br/>
            </w:r>
            <w:r>
              <w:rPr>
                <w:rFonts w:ascii="SimSun" w:hAnsi="SimSun"/>
                <w:b w:val="false"/>
                <w:i w:val="false"/>
                <w:color w:val="000000"/>
                <w:sz w:val="21"/>
              </w:rPr>
              <w:t>Natural Language Syntax and Natural Language Processing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德语语言学概论</w:t>
            </w:r>
            <w:r>
              <w:br/>
            </w:r>
            <w:r>
              <w:rPr>
                <w:rFonts w:ascii="SimSun" w:hAnsi="SimSun"/>
                <w:b w:val="false"/>
                <w:i w:val="false"/>
                <w:color w:val="000000"/>
                <w:sz w:val="21"/>
              </w:rPr>
              <w:t>Introduction to German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奥地利文化</w:t>
            </w:r>
            <w:r>
              <w:br/>
            </w:r>
            <w:r>
              <w:rPr>
                <w:rFonts w:ascii="SimSun" w:hAnsi="SimSun"/>
                <w:b w:val="false"/>
                <w:i w:val="false"/>
                <w:color w:val="000000"/>
                <w:sz w:val="21"/>
              </w:rPr>
              <w:t>Austrian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中德文化交流的历史与现状</w:t>
            </w:r>
            <w:r>
              <w:br/>
            </w:r>
            <w:r>
              <w:rPr>
                <w:rFonts w:ascii="SimSun" w:hAnsi="SimSun"/>
                <w:b w:val="false"/>
                <w:i w:val="false"/>
                <w:color w:val="000000"/>
                <w:sz w:val="21"/>
              </w:rPr>
              <w:t>Past and Present Cultural Exchanges between China and Germany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跨文化交际</w:t>
            </w:r>
            <w:r>
              <w:br/>
            </w:r>
            <w:r>
              <w:rPr>
                <w:rFonts w:ascii="SimSun" w:hAnsi="SimSun"/>
                <w:b w:val="false"/>
                <w:i w:val="false"/>
                <w:color w:val="000000"/>
                <w:sz w:val="21"/>
              </w:rPr>
              <w:t>Intercultural Communication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德语文学中的科技专题</w:t>
            </w:r>
            <w:r>
              <w:br/>
            </w:r>
            <w:r>
              <w:rPr>
                <w:rFonts w:ascii="SimSun" w:hAnsi="SimSun"/>
                <w:b w:val="false"/>
                <w:i w:val="false"/>
                <w:color w:val="000000"/>
                <w:sz w:val="21"/>
              </w:rPr>
              <w:t>Science and Technology in German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FORE50132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德语影视</w:t>
            </w:r>
            <w:r>
              <w:br/>
            </w:r>
            <w:r>
              <w:rPr>
                <w:rFonts w:ascii="SimSun" w:hAnsi="SimSun"/>
                <w:b w:val="false"/>
                <w:i w:val="false"/>
                <w:color w:val="000000"/>
                <w:sz w:val="21"/>
              </w:rPr>
              <w:t>German Films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德语语言研究中的编程方法</w:t>
            </w:r>
            <w:r>
              <w:br/>
            </w:r>
            <w:r>
              <w:rPr>
                <w:rFonts w:ascii="SimSun" w:hAnsi="SimSun"/>
                <w:b w:val="false"/>
                <w:i w:val="false"/>
                <w:color w:val="000000"/>
                <w:sz w:val="21"/>
              </w:rPr>
              <w:t>Programming Methods in Linguistic Research of German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FORE50133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德语语料库技术与应用基础</w:t>
            </w:r>
            <w:r>
              <w:br/>
            </w:r>
            <w:r>
              <w:rPr>
                <w:rFonts w:ascii="SimSun" w:hAnsi="SimSun"/>
                <w:b w:val="false"/>
                <w:i w:val="false"/>
                <w:color w:val="000000"/>
                <w:sz w:val="21"/>
              </w:rPr>
              <w:t>Fundamentals of German Corpus Linguistics and Applications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FORE50131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人工智能与德汉互译</w:t>
            </w:r>
            <w:r>
              <w:br/>
            </w:r>
            <w:r>
              <w:rPr>
                <w:rFonts w:ascii="SimSun" w:hAnsi="SimSun"/>
                <w:b w:val="false"/>
                <w:i w:val="false"/>
                <w:color w:val="000000"/>
                <w:sz w:val="21"/>
              </w:rPr>
              <w:t>Artificial Intelligence and German-Chinese Translation</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FORE50130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B组（10学分）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概率论与数理统计A</w:t>
            </w:r>
            <w:r>
              <w:br/>
            </w:r>
            <w:r>
              <w:rPr>
                <w:rFonts w:ascii="SimSun" w:hAnsi="SimSun"/>
                <w:b w:val="false"/>
                <w:i w:val="false"/>
                <w:color w:val="000000"/>
                <w:sz w:val="21"/>
              </w:rPr>
              <w:t>Probability and Mathematical Statistics 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代数结构与数理逻辑</w:t>
            </w:r>
            <w:r>
              <w:br/>
            </w:r>
            <w:r>
              <w:rPr>
                <w:rFonts w:ascii="SimSun" w:hAnsi="SimSun"/>
                <w:b w:val="false"/>
                <w:i w:val="false"/>
                <w:color w:val="000000"/>
                <w:sz w:val="21"/>
              </w:rPr>
              <w:t>Algebra Structure and Mathematical Logic</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计算理论基础</w:t>
            </w:r>
            <w:r>
              <w:br/>
            </w:r>
            <w:r>
              <w:rPr>
                <w:rFonts w:ascii="SimSun" w:hAnsi="SimSun"/>
                <w:b w:val="false"/>
                <w:i w:val="false"/>
                <w:color w:val="000000"/>
                <w:sz w:val="21"/>
              </w:rPr>
              <w:t>Fundamentals of Computation Theory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CS30021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自然语言处理与大语言模型</w:t>
            </w:r>
            <w:r>
              <w:br/>
            </w:r>
            <w:r>
              <w:rPr>
                <w:rFonts w:ascii="SimSun" w:hAnsi="SimSun"/>
                <w:b w:val="false"/>
                <w:i w:val="false"/>
                <w:color w:val="000000"/>
                <w:sz w:val="21"/>
              </w:rPr>
              <w:t>Natural Language Processing and Large Language Models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计算机视觉</w:t>
            </w:r>
            <w:r>
              <w:br/>
            </w:r>
            <w:r>
              <w:rPr>
                <w:rFonts w:ascii="SimSun" w:hAnsi="SimSun"/>
                <w:b w:val="false"/>
                <w:i w:val="false"/>
                <w:color w:val="000000"/>
                <w:sz w:val="21"/>
              </w:rPr>
              <w:t>Computer Vision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云计算与虚拟化技术</w:t>
            </w:r>
            <w:r>
              <w:br/>
            </w:r>
            <w:r>
              <w:rPr>
                <w:rFonts w:ascii="SimSun" w:hAnsi="SimSun"/>
                <w:b w:val="false"/>
                <w:i w:val="false"/>
                <w:color w:val="000000"/>
                <w:sz w:val="21"/>
              </w:rPr>
              <w:t>Cloud Computing and Virtualization Technology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计算机图形学</w:t>
            </w:r>
            <w:r>
              <w:br/>
            </w:r>
            <w:r>
              <w:rPr>
                <w:rFonts w:ascii="SimSun" w:hAnsi="SimSun"/>
                <w:b w:val="false"/>
                <w:i w:val="false"/>
                <w:color w:val="000000"/>
                <w:sz w:val="21"/>
              </w:rPr>
              <w:t>Computer Graphics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分布式系统</w:t>
            </w:r>
            <w:r>
              <w:br/>
            </w:r>
            <w:r>
              <w:rPr>
                <w:rFonts w:ascii="SimSun" w:hAnsi="SimSun"/>
                <w:b w:val="false"/>
                <w:i w:val="false"/>
                <w:color w:val="000000"/>
                <w:sz w:val="21"/>
              </w:rPr>
              <w:t>Distributed Systems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机器学习系统</w:t>
            </w:r>
            <w:r>
              <w:br/>
            </w:r>
            <w:r>
              <w:rPr>
                <w:rFonts w:ascii="SimSun" w:hAnsi="SimSun"/>
                <w:b w:val="false"/>
                <w:i w:val="false"/>
                <w:color w:val="000000"/>
                <w:sz w:val="21"/>
              </w:rPr>
              <w:t>Machine Learning Systems</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CS30058</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德语基本功训练和文学基本素养培育的同时，积极申请复芏计划（FDUROP）项目（䇹政、望道、登辉和曦源），激发创新志趣。多渠道支持学生参加国内国际高水平学术交流，鼓励学生参加国内国际高水平创新竞赛（“外教社杯”全国高校德语演讲比赛、“外研社·国才杯”“理解当代中国”全国大学生外语能力大赛德语组、全国高校德语专业本科生学术创新大赛、全国高校德语专业辩论赛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jpe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