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2026法语-计算机科学与技术双学士学位项目培养方案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的法文教学与学校同龄，创始人马相伯先生曾亲自教授法文班课程。1970年，新的法语语言文学系成立。在林秀清、徐和瑾、朱静、褚孝泉等知名学者和翻译家的带领下，经过几代学人的努力，复旦法文在法语语言文学的教学和研究上具备了国内顶尖的实力，在过去几十年中为改革开放的中国培养了大量精通法语、富有人文精神、饱含中国情怀、具备国际视野的优秀人才。目前，法语系教师承担了多项国家社科基金，教育部、上海市哲社研究项目，参与了国家社科基金重大项目，在国内外众多权威期刊上发表了大量重要学术论文。法语系与法国、比利时、瑞士多所世界顶尖名校有密切合作，开展了多项学生交换项目与学者互访项目。法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通晓法语语言和文学专业知识，具备高水准的法语交际能力，兼具计算机科学跨学科背景、符合国家建设和社会发展所需要的复合型拔尖创新人才。</w:t>
      </w:r>
    </w:p>
    <w:p>
      <w:pPr>
        <w:spacing w:after="0"/>
        <w:ind w:left="0"/>
        <w:jc w:val="left"/>
      </w:pPr>
      <w:r>
        <w:rPr>
          <w:rFonts w:ascii="SimSun" w:hAnsi="SimSun"/>
          <w:b w:val="false"/>
          <w:i w:val="false"/>
          <w:color w:val="000000"/>
          <w:sz w:val="21"/>
        </w:rPr>
        <w:t>要求学生掌握法语语言和文学基础知识；具有扎实的法语语言基础和较熟练的听、说、读、写、译能力；聚焦国际传播能力培育，打破单纯语言教学局限，实现“语言学习、国情认知、跨文化沟通”三级进阶。依托《理解当代中国》系列教材，将中国故事、中国方案、中国智慧转化为外语表达素材，通过短文写作、主题演讲、双语解说等形式，引导学生用国际话语讲好中国故事，培养融通中外的全球胜任力。此外，我们还要求学生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296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2966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 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5801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8010"/>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9979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899795"/>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专业进阶路径：175学分</w:t>
      </w:r>
    </w:p>
    <w:p>
      <w:pPr>
        <w:spacing w:after="0"/>
        <w:ind w:left="0"/>
        <w:jc w:val="left"/>
      </w:pPr>
      <w:r>
        <w:rPr>
          <w:rFonts w:ascii="SimSun" w:hAnsi="SimSun"/>
          <w:b w:val="false"/>
          <w:i w:val="false"/>
          <w:color w:val="000000"/>
          <w:sz w:val="21"/>
        </w:rPr>
        <w:t>本路径学生需要完成175学分（含实践学分不低于27学分；含美育学分不少于2学分，其中至少在“美学和艺术史论类”或“艺术鉴赏和评论类”课程中修读1学分，并至少参与一项艺术实践活动；劳动教育不少于32学时，并满足劳动周教育要求），包括通识教育课程38学分、专业培养课程113学分、专业进阶课程18分、融合创新能力模块6学分。</w:t>
      </w:r>
    </w:p>
    <w:p>
      <w:pPr>
        <w:spacing w:after="0"/>
        <w:ind w:left="0"/>
        <w:jc w:val="left"/>
      </w:pPr>
      <w:r>
        <w:rPr>
          <w:rFonts w:ascii="SimSun" w:hAnsi="SimSun"/>
          <w:b w:val="false"/>
          <w:i w:val="false"/>
          <w:color w:val="000000"/>
          <w:sz w:val="21"/>
        </w:rPr>
        <w:t>2. 本科荣誉项目：175学分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在专业进阶路径基础上，修读荣誉课程不少于6门课。荣誉项目课程设置和修读要求请见法语专业“本科荣誉项目”实施方案。下载地址：https://jwc.fudan.edu.cn/（复旦大学教务处）专业培养-常用文档。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4年级结束时，如达到学士学位要求者授予文学、理学学士学位。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（3）在此基础上，达到法语专业“本科荣誉证书”获得条件的授予“本科荣誉证书”，具体要求请见法语专业“本科荣誉项目”实施方案。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39463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394631"/>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法语语言能力训练和计算机科学技术知识及素养培育的课程为基础建立了法语+计算机科学与技术双学士学位核心课程体系，以研究领域为横、课程内容梯度为纵建立了难度逐级提升的本研融通的专业进阶课程体系。体系中有3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鼓励并指导学生参与各类法语语言文化能力竞赛，引导学生进入系内教师课题组轮转，培育科研兴趣。通过复芏计划等项目引导学生在“做中学、学中悟、悟中创”，激发创新志趣。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要求修读13学分（人工智能教学专项课程除外）。具体请参见专项教育课程列表。
      </w:t>
      </w:r>
    </w:p>
    <w:p>
      <w:pPr>
        <w:spacing w:after="0"/>
        <w:ind w:left="0"/>
        <w:jc w:val="left"/>
      </w:pPr>
      <w:r>
        <w:rPr>
          <w:rFonts w:ascii="SimSun" w:hAnsi="SimSun"/>
          <w:b/>
          <w:i w:val="false"/>
          <w:color w:val="000000"/>
          <w:sz w:val="21"/>
        </w:rPr>
        <w:t xml:space="preserve">
       (二) 专业培养课程（113学分）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专业核心教育课程（86学分）
      </w:t>
      </w:r>
    </w:p>
    <w:p>
      <w:pPr>
        <w:spacing w:after="0"/>
        <w:ind w:left="0"/>
        <w:jc w:val="left"/>
      </w:pPr>
      <w:r>
        <w:rPr>
          <w:rFonts w:ascii="SimSun" w:hAnsi="SimSun"/>
          <w:b w:val="false"/>
          <w:i w:val="false"/>
          <w:color w:val="000000"/>
          <w:sz w:val="21"/>
        </w:rPr>
        <w:t xml:space="preserve">
       要求修读86学分（部分课程学分可用荣誉课程学分替换）。
      </w:t>
      </w:r>
    </w:p>
    <w:p>
      <w:pPr>
        <w:spacing w:after="0"/>
        <w:ind w:left="0"/>
        <w:jc w:val="left"/>
      </w:pPr>
      <w:r>
        <w:rPr>
          <w:rFonts w:ascii="SimSun" w:hAnsi="SimSun"/>
          <w:b/>
          <w:i w:val="false"/>
          <w:color w:val="000000"/>
          <w:sz w:val="21"/>
        </w:rPr>
        <w:t xml:space="preserve">
       (1) A组（48学分）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法语会话（上）</w:t>
            </w:r>
            <w:r>
              <w:br/>
            </w:r>
            <w:r>
              <w:rPr>
                <w:rFonts w:ascii="SimSun" w:hAnsi="SimSun"/>
                <w:b w:val="false"/>
                <w:i w:val="false"/>
                <w:color w:val="000000"/>
                <w:sz w:val="21"/>
              </w:rPr>
              <w:t>Spoken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中级法语（上）</w:t>
            </w:r>
            <w:r>
              <w:br/>
            </w:r>
            <w:r>
              <w:rPr>
                <w:rFonts w:ascii="SimSun" w:hAnsi="SimSun"/>
                <w:b w:val="false"/>
                <w:i w:val="false"/>
                <w:color w:val="000000"/>
                <w:sz w:val="21"/>
              </w:rPr>
              <w:t>Intermediate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法语写作I(上)</w:t>
            </w:r>
            <w:r>
              <w:br/>
            </w:r>
            <w:r>
              <w:rPr>
                <w:rFonts w:ascii="SimSun" w:hAnsi="SimSun"/>
                <w:b w:val="false"/>
                <w:i w:val="false"/>
                <w:color w:val="000000"/>
                <w:sz w:val="21"/>
              </w:rPr>
              <w:t>French Writing 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中级法语（下）</w:t>
            </w:r>
            <w:r>
              <w:br/>
            </w:r>
            <w:r>
              <w:rPr>
                <w:rFonts w:ascii="SimSun" w:hAnsi="SimSun"/>
                <w:b w:val="false"/>
                <w:i w:val="false"/>
                <w:color w:val="000000"/>
                <w:sz w:val="21"/>
              </w:rPr>
              <w:t>Intermediate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法语写作I(下)</w:t>
            </w:r>
            <w:r>
              <w:br/>
            </w:r>
            <w:r>
              <w:rPr>
                <w:rFonts w:ascii="SimSun" w:hAnsi="SimSun"/>
                <w:b w:val="false"/>
                <w:i w:val="false"/>
                <w:color w:val="000000"/>
                <w:sz w:val="21"/>
              </w:rPr>
              <w:t>French Writing 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高级法语(上)</w:t>
            </w:r>
            <w:r>
              <w:br/>
            </w:r>
            <w:r>
              <w:rPr>
                <w:rFonts w:ascii="SimSun" w:hAnsi="SimSun"/>
                <w:b w:val="false"/>
                <w:i w:val="false"/>
                <w:color w:val="000000"/>
                <w:sz w:val="21"/>
              </w:rPr>
              <w:t>Advanced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翻译理论与技巧(法语)(上)</w:t>
            </w:r>
            <w:r>
              <w:br/>
            </w:r>
            <w:r>
              <w:rPr>
                <w:rFonts w:ascii="SimSun" w:hAnsi="SimSun"/>
                <w:b w:val="false"/>
                <w:i w:val="false"/>
                <w:color w:val="000000"/>
                <w:sz w:val="21"/>
              </w:rPr>
              <w:t>Translation Theory and Techniques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法语写作II(上)</w:t>
            </w:r>
            <w:r>
              <w:br/>
            </w:r>
            <w:r>
              <w:rPr>
                <w:rFonts w:ascii="SimSun" w:hAnsi="SimSun"/>
                <w:b w:val="false"/>
                <w:i w:val="false"/>
                <w:color w:val="000000"/>
                <w:sz w:val="21"/>
              </w:rPr>
              <w:t>French Writing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高级法语(下)</w:t>
            </w:r>
            <w:r>
              <w:br/>
            </w:r>
            <w:r>
              <w:rPr>
                <w:rFonts w:ascii="SimSun" w:hAnsi="SimSun"/>
                <w:b w:val="false"/>
                <w:i w:val="false"/>
                <w:color w:val="000000"/>
                <w:sz w:val="21"/>
              </w:rPr>
              <w:t>Advanced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翻译理论与技巧(法语)(下)</w:t>
            </w:r>
            <w:r>
              <w:br/>
            </w:r>
            <w:r>
              <w:rPr>
                <w:rFonts w:ascii="SimSun" w:hAnsi="SimSun"/>
                <w:b w:val="false"/>
                <w:i w:val="false"/>
                <w:color w:val="000000"/>
                <w:sz w:val="21"/>
              </w:rPr>
              <w:t>Translation Theory and Techniques (French)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法语初级视听</w:t>
            </w:r>
            <w:r>
              <w:br/>
            </w:r>
            <w:r>
              <w:rPr>
                <w:rFonts w:ascii="SimSun" w:hAnsi="SimSun"/>
                <w:b w:val="false"/>
                <w:i w:val="false"/>
                <w:color w:val="000000"/>
                <w:sz w:val="21"/>
              </w:rPr>
              <w:t>Elementary French Listening Comprehension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法语会话（中）</w:t>
            </w:r>
            <w:r>
              <w:br/>
            </w:r>
            <w:r>
              <w:rPr>
                <w:rFonts w:ascii="SimSun" w:hAnsi="SimSun"/>
                <w:b w:val="false"/>
                <w:i w:val="false"/>
                <w:color w:val="000000"/>
                <w:sz w:val="21"/>
              </w:rPr>
              <w:t>French Conversation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法语会话（下）</w:t>
            </w:r>
            <w:r>
              <w:br/>
            </w:r>
            <w:r>
              <w:rPr>
                <w:rFonts w:ascii="SimSun" w:hAnsi="SimSun"/>
                <w:b w:val="false"/>
                <w:i w:val="false"/>
                <w:color w:val="000000"/>
                <w:sz w:val="21"/>
              </w:rPr>
              <w:t>Spoken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以语言为中心的生成式AI</w:t>
            </w:r>
            <w:r>
              <w:br/>
            </w:r>
            <w:r>
              <w:rPr>
                <w:rFonts w:ascii="SimSun" w:hAnsi="SimSun"/>
                <w:b w:val="false"/>
                <w:i w:val="false"/>
                <w:color w:val="000000"/>
                <w:sz w:val="21"/>
              </w:rPr>
              <w:t>Language-Centric Generative AI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法语语法学</w:t>
            </w:r>
            <w:r>
              <w:br/>
            </w:r>
            <w:r>
              <w:rPr>
                <w:rFonts w:ascii="SimSun" w:hAnsi="SimSun"/>
                <w:b w:val="false"/>
                <w:i w:val="false"/>
                <w:color w:val="000000"/>
                <w:sz w:val="21"/>
              </w:rPr>
              <w:t>French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法国文化</w:t>
            </w:r>
            <w:r>
              <w:br/>
            </w:r>
            <w:r>
              <w:rPr>
                <w:rFonts w:ascii="SimSun" w:hAnsi="SimSun"/>
                <w:b w:val="false"/>
                <w:i w:val="false"/>
                <w:color w:val="000000"/>
                <w:sz w:val="21"/>
              </w:rPr>
              <w:t>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法国概况</w:t>
            </w:r>
            <w:r>
              <w:br/>
            </w:r>
            <w:r>
              <w:rPr>
                <w:rFonts w:ascii="SimSun" w:hAnsi="SimSun"/>
                <w:b w:val="false"/>
                <w:i w:val="false"/>
                <w:color w:val="000000"/>
                <w:sz w:val="21"/>
              </w:rPr>
              <w:t>French:A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中法文化比较</w:t>
            </w:r>
            <w:r>
              <w:br/>
            </w:r>
            <w:r>
              <w:rPr>
                <w:rFonts w:ascii="SimSun" w:hAnsi="SimSun"/>
                <w:b w:val="false"/>
                <w:i w:val="false"/>
                <w:color w:val="000000"/>
                <w:sz w:val="21"/>
              </w:rPr>
              <w:t>Comparative Study of Chinese and 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法语影视</w:t>
            </w:r>
            <w:r>
              <w:br/>
            </w:r>
            <w:r>
              <w:rPr>
                <w:rFonts w:ascii="SimSun" w:hAnsi="SimSun"/>
                <w:b w:val="false"/>
                <w:i w:val="false"/>
                <w:color w:val="000000"/>
                <w:sz w:val="21"/>
              </w:rPr>
              <w:t>French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中法文学关系</w:t>
            </w:r>
            <w:r>
              <w:br/>
            </w:r>
            <w:r>
              <w:rPr>
                <w:rFonts w:ascii="SimSun" w:hAnsi="SimSun"/>
                <w:b w:val="false"/>
                <w:i w:val="false"/>
                <w:color w:val="000000"/>
                <w:sz w:val="21"/>
              </w:rPr>
              <w:t>Literary Relationship between China and France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法语基本功训练和文学基本素养培育的同时，积极申请复芏计划（FDUROP）项目（䇹政、望道、登辉和曦源），激发创新志趣。多渠道支持学生参加国内国际高水平学术交流，鼓励学生参加高水平创新竞赛（“外教社杯”全国高校法语演讲比赛、“外研社·国才杯”“理解当代中国”全国大学生外语能力大赛法语组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