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2026翻译-计算机科学与技术双学士学位项目培养方案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本双学位项目所依托的两个专业（即“翻译”以及“计算机科学与技术”专业），均为国家级一流本科专业。近年来，复旦大学翻译系和计算机科学技术学院一直保持跨学科学术合作，并在大语言模型、深度学习与机器翻译等领域取得了系列研究成果。翻译系已有多位本科毕业生进入计算机领域继续学习深造，并在翻译技术竞赛中获得优异成绩。同时计算机科学技术学院也不断吸纳文科优秀学生至计算机领域攻读研究生。在此基础上，本双学位项目旨在深化文理交叉，探索更系统、更持久的跨学科培养路径。</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对接国家“新文科”“新工科”建设的需求，旨在培养德智体美劳全面发展，具有扎实语言功底、良好人文素养、宽阔国际视野，较强的英汉两种语言与文化的转换和沟通能力，兼具计算机科学跨学科背景、符合国家建设和社会发展所需要的复合型拔尖创新人才。</w:t>
      </w:r>
      <w:r>
        <w:br/>
      </w:r>
      <w:r>
        <w:rPr>
          <w:rFonts w:ascii="SimSun" w:hAnsi="SimSun"/>
          <w:b w:val="false"/>
          <w:i w:val="false"/>
          <w:color w:val="000000"/>
          <w:sz w:val="21"/>
        </w:rPr>
        <w:t>要求学生掌握英汉口笔译能力；具有较强的跨文化交际能力；具有扎实的英语语言基础和较熟练的听、说、读、写、译能力；具有第二外国语的一定的实际应用能力；熟练运用双语能力在涉外场合进行语言与文化的沟通和组织工作；具有良好的汉语表达能力和基本调研能力；具有扎实的计算机软、硬件基本理论、基本知识和基本实践技能；具有能够将数字工具和理论运用到语言信息处理、人工智能开发、数字人文研究等跨学科领域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02920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29209"/>
                    </a:xfrm>
                    <a:prstGeom prst="rect">
                      <a:avLst/>
                    </a:prstGeom>
                  </pic:spPr>
                </pic:pic>
              </a:graphicData>
            </a:graphic>
          </wp:inline>
        </w:drawing>
      </w:r>
    </w:p>
    <w:p>
      <w:pPr>
        <w:spacing w:after="0"/>
        <w:ind w:left="0"/>
        <w:jc w:val="left"/>
      </w:pP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2267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22673"/>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304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730427"/>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专业进阶路径：167学分</w:t>
      </w:r>
    </w:p>
    <w:p>
      <w:pPr>
        <w:spacing w:after="0"/>
        <w:ind w:left="0"/>
        <w:jc w:val="left"/>
      </w:pPr>
      <w:r>
        <w:rPr>
          <w:rFonts w:ascii="SimSun" w:hAnsi="SimSun"/>
          <w:b w:val="false"/>
          <w:i w:val="false"/>
          <w:color w:val="000000"/>
          <w:sz w:val="21"/>
        </w:rPr>
        <w:t xml:space="preserve">    本路径学生需要完成167学分（含实践学分不低于26学分；含美育学分不少于2学分，其中至少在“美学和艺术史论类”或“艺术鉴赏和评论类”课程中修读1学分，并至少参与一项艺术实践活动；劳动教育不少于32学时，并满足劳动周教育要求），包括通识教育课程34学分、专业培养课程109学分、专业进阶课程18分、融合创新能力模块6学分。</w:t>
      </w:r>
    </w:p>
    <w:p>
      <w:pPr>
        <w:spacing w:after="0"/>
        <w:ind w:left="0"/>
        <w:jc w:val="left"/>
      </w:pPr>
      <w:r>
        <w:rPr>
          <w:rFonts w:ascii="SimSun" w:hAnsi="SimSun"/>
          <w:b w:val="false"/>
          <w:i w:val="false"/>
          <w:color w:val="000000"/>
          <w:sz w:val="21"/>
        </w:rPr>
        <w:t>2、    本科荣誉项目：167学分</w:t>
      </w:r>
    </w:p>
    <w:p>
      <w:pPr>
        <w:spacing w:after="0"/>
        <w:ind w:left="0"/>
        <w:jc w:val="left"/>
      </w:pPr>
      <w:r>
        <w:rPr>
          <w:rFonts w:ascii="SimSun" w:hAnsi="SimSun"/>
          <w:b w:val="false"/>
          <w:i w:val="false"/>
          <w:color w:val="000000"/>
          <w:sz w:val="21"/>
        </w:rPr>
        <w:t xml:space="preserve">    在专业进阶路径基础上，修读荣誉课程不少于6门课。荣誉项目课程设置和修读要求请见翻译专业“本科荣誉项目”实施方案。下载地址：https://jwc.fudan.edu.cn/（复旦大学教务处）专业培养-常用文档。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4年级结束时，如达到学士学位要求者授予文学、理学学士学位。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（3）在此基础上，达到翻译专业“本科荣誉证书”获得条件的授予“本科荣誉证书”，具体要求请见翻译专业“本科荣誉项目”实施方案。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7754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577542"/>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以覆盖语言能力训练和口笔译能力培育的课程为基础建立了翻译专业核心课程体系，以课程内容和能力要求为梯度为纵建立了难度逐级提升的本研融通的专业进阶课程体系。</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鼓励并指导学生参与各类口笔译及语言文化能力竞赛，引导学生进入系内教师课题组轮转，培育科研兴趣。通过复芏计划等项目引导学生在“做中学、学中悟、悟中创”，激发创新志趣。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通识教育课程（34学分）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双学位专业所属两个院系开设的课程），大学生国家安全教育1学分。
      </w:t>
      </w:r>
    </w:p>
    <w:p>
      <w:pPr>
        <w:spacing w:after="0"/>
        <w:ind w:left="0"/>
        <w:jc w:val="left"/>
      </w:pPr>
      <w:r>
        <w:rPr>
          <w:rFonts w:ascii="SimSun" w:hAnsi="SimSun"/>
          <w:b/>
          <w:i w:val="false"/>
          <w:color w:val="000000"/>
          <w:sz w:val="21"/>
        </w:rPr>
        <w:t xml:space="preserve">
       2.  通识教育专项教育课程（9学分）
      </w:t>
      </w:r>
    </w:p>
    <w:p>
      <w:pPr>
        <w:spacing w:after="0"/>
        <w:ind w:left="0"/>
        <w:jc w:val="left"/>
      </w:pPr>
      <w:r>
        <w:rPr>
          <w:rFonts w:ascii="SimSun" w:hAnsi="SimSun"/>
          <w:b w:val="false"/>
          <w:i w:val="false"/>
          <w:color w:val="000000"/>
          <w:sz w:val="21"/>
        </w:rPr>
        <w:t xml:space="preserve">
       要求修读9学分（大学英语类课程、人工智能教学专项课程除外）。具体请参见专项教育课程列表。
      </w:t>
      </w:r>
    </w:p>
    <w:p>
      <w:pPr>
        <w:spacing w:after="0"/>
        <w:ind w:left="0"/>
        <w:jc w:val="left"/>
      </w:pPr>
      <w:r>
        <w:rPr>
          <w:rFonts w:ascii="SimSun" w:hAnsi="SimSun"/>
          <w:b/>
          <w:i w:val="false"/>
          <w:color w:val="000000"/>
          <w:sz w:val="21"/>
        </w:rPr>
        <w:t xml:space="preserve">
       (二) 专业培养课程（109学分）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val="false"/>
          <w:i w:val="false"/>
          <w:color w:val="000000"/>
          <w:sz w:val="21"/>
        </w:rPr>
        <w:t xml:space="preserve">
       要求修读27学分。学生应在学科基础课程中的人文基础理论课程（跨院系必修）中修满6学分（课程为“中国文学经典”“中国古代文明”）；在人文基础理论课程（跨院系选修）中修读2学分。在工学基础课程中修满19学分（课程为“微积分A I”“微积分A II”“线性代数B”“程序设计”）。学科基础课程应在一二年级修完。
      </w:t>
      </w:r>
    </w:p>
    <w:p>
      <w:pPr>
        <w:spacing w:after="0"/>
        <w:ind w:left="0"/>
        <w:jc w:val="left"/>
      </w:pPr>
      <w:r>
        <w:rPr>
          <w:rFonts w:ascii="SimSun" w:hAnsi="SimSun"/>
          <w:b/>
          <w:i w:val="false"/>
          <w:color w:val="000000"/>
          <w:sz w:val="21"/>
        </w:rPr>
        <w:t xml:space="preserve">
       (1) 人文基础课程（8学分）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专业核心教育课程（82学分）
      </w:t>
      </w:r>
    </w:p>
    <w:p>
      <w:pPr>
        <w:spacing w:after="0"/>
        <w:ind w:left="0"/>
        <w:jc w:val="left"/>
      </w:pPr>
      <w:r>
        <w:rPr>
          <w:rFonts w:ascii="SimSun" w:hAnsi="SimSun"/>
          <w:b w:val="false"/>
          <w:i w:val="false"/>
          <w:color w:val="000000"/>
          <w:sz w:val="21"/>
        </w:rPr>
        <w:t xml:space="preserve">
       要求修读82学分（部分课程学分可用荣誉课程学分替换）。
      </w:t>
      </w:r>
    </w:p>
    <w:p>
      <w:pPr>
        <w:spacing w:after="0"/>
        <w:ind w:left="0"/>
        <w:jc w:val="left"/>
      </w:pPr>
      <w:r>
        <w:rPr>
          <w:rFonts w:ascii="SimSun" w:hAnsi="SimSun"/>
          <w:b/>
          <w:i w:val="false"/>
          <w:color w:val="000000"/>
          <w:sz w:val="21"/>
        </w:rPr>
        <w:t xml:space="preserve">
       (1) A组（36学分）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w:t>
            </w:r>
            <w:r>
              <w:br/>
            </w:r>
            <w:r>
              <w:rPr>
                <w:rFonts w:ascii="SimSun" w:hAnsi="SimSun"/>
                <w:b w:val="false"/>
                <w:i w:val="false"/>
                <w:color w:val="000000"/>
                <w:sz w:val="21"/>
              </w:rPr>
              <w:t>Introduction to English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英语听说与译述（上）</w:t>
            </w:r>
            <w:r>
              <w:br/>
            </w:r>
            <w:r>
              <w:rPr>
                <w:rFonts w:ascii="SimSun" w:hAnsi="SimSun"/>
                <w:b w:val="false"/>
                <w:i w:val="false"/>
                <w:color w:val="000000"/>
                <w:sz w:val="21"/>
              </w:rPr>
              <w:t>Oral English and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英语读译</w:t>
            </w:r>
            <w:r>
              <w:br/>
            </w:r>
            <w:r>
              <w:rPr>
                <w:rFonts w:ascii="SimSun" w:hAnsi="SimSun"/>
                <w:b w:val="false"/>
                <w:i w:val="false"/>
                <w:color w:val="000000"/>
                <w:sz w:val="21"/>
              </w:rPr>
              <w:t>Read and Render: A Course for Translation Majors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英汉互译技巧I</w:t>
            </w:r>
            <w:r>
              <w:br/>
            </w:r>
            <w:r>
              <w:rPr>
                <w:rFonts w:ascii="SimSun" w:hAnsi="SimSun"/>
                <w:b w:val="false"/>
                <w:i w:val="false"/>
                <w:color w:val="000000"/>
                <w:sz w:val="21"/>
              </w:rPr>
              <w:t>Techniques of Chinese-English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交替传译I</w:t>
            </w:r>
            <w:r>
              <w:br/>
            </w:r>
            <w:r>
              <w:rPr>
                <w:rFonts w:ascii="SimSun" w:hAnsi="SimSun"/>
                <w:b w:val="false"/>
                <w:i w:val="false"/>
                <w:color w:val="000000"/>
                <w:sz w:val="21"/>
              </w:rPr>
              <w:t>Consecutive Interpreting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视译基础</w:t>
            </w:r>
            <w:r>
              <w:br/>
            </w:r>
            <w:r>
              <w:rPr>
                <w:rFonts w:ascii="SimSun" w:hAnsi="SimSun"/>
                <w:b w:val="false"/>
                <w:i w:val="false"/>
                <w:color w:val="000000"/>
                <w:sz w:val="21"/>
              </w:rPr>
              <w:t>Introduction to Sight Interpreting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翻译技术基础</w:t>
            </w:r>
            <w:r>
              <w:br/>
            </w:r>
            <w:r>
              <w:rPr>
                <w:rFonts w:ascii="SimSun" w:hAnsi="SimSun"/>
                <w:b w:val="false"/>
                <w:i w:val="false"/>
                <w:color w:val="000000"/>
                <w:sz w:val="21"/>
              </w:rPr>
              <w:t>Basics of Translation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本地化翻译</w:t>
            </w:r>
            <w:r>
              <w:br/>
            </w:r>
            <w:r>
              <w:rPr>
                <w:rFonts w:ascii="SimSun" w:hAnsi="SimSun"/>
                <w:b w:val="false"/>
                <w:i w:val="false"/>
                <w:color w:val="000000"/>
                <w:sz w:val="21"/>
              </w:rPr>
              <w:t>Location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同声传译基础</w:t>
            </w:r>
            <w:r>
              <w:br/>
            </w:r>
            <w:r>
              <w:rPr>
                <w:rFonts w:ascii="SimSun" w:hAnsi="SimSun"/>
                <w:b w:val="false"/>
                <w:i w:val="false"/>
                <w:color w:val="000000"/>
                <w:sz w:val="21"/>
              </w:rPr>
              <w:t>Simultaneous Interpretation Basics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英美影视剧字幕翻译</w:t>
            </w:r>
            <w:r>
              <w:br/>
            </w:r>
            <w:r>
              <w:rPr>
                <w:rFonts w:ascii="SimSun" w:hAnsi="SimSun"/>
                <w:b w:val="false"/>
                <w:i w:val="false"/>
                <w:color w:val="000000"/>
                <w:sz w:val="21"/>
              </w:rPr>
              <w:t>Translating the Subtitles of British and American TV Dramas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FORE30055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技术传播与写作</w:t>
            </w:r>
            <w:r>
              <w:br/>
            </w:r>
            <w:r>
              <w:rPr>
                <w:rFonts w:ascii="SimSun" w:hAnsi="SimSun"/>
                <w:b w:val="false"/>
                <w:i w:val="false"/>
                <w:color w:val="000000"/>
                <w:sz w:val="21"/>
              </w:rPr>
              <w:t>Technical Communication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多文体阅读</w:t>
            </w:r>
            <w:r>
              <w:br/>
            </w:r>
            <w:r>
              <w:rPr>
                <w:rFonts w:ascii="SimSun" w:hAnsi="SimSun"/>
                <w:b w:val="false"/>
                <w:i w:val="false"/>
                <w:color w:val="000000"/>
                <w:sz w:val="21"/>
              </w:rPr>
              <w:t>An Intermediate Reading Course in English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B组（38学分）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数字逻辑与部件设计</w:t>
            </w:r>
            <w:r>
              <w:br/>
            </w:r>
            <w:r>
              <w:rPr>
                <w:rFonts w:ascii="SimSun" w:hAnsi="SimSun"/>
                <w:b w:val="false"/>
                <w:i w:val="false"/>
                <w:color w:val="000000"/>
                <w:sz w:val="21"/>
              </w:rPr>
              <w:t>Digital Logic and Component Design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CS20009</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CS10005</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算法设计与分析</w:t>
            </w:r>
            <w:r>
              <w:br/>
            </w:r>
            <w:r>
              <w:rPr>
                <w:rFonts w:ascii="SimSun" w:hAnsi="SimSun"/>
                <w:b w:val="false"/>
                <w:i w:val="false"/>
                <w:color w:val="000000"/>
                <w:sz w:val="21"/>
              </w:rPr>
              <w:t>Algorithm Design and Analysis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操作系统</w:t>
            </w:r>
            <w:r>
              <w:br/>
            </w:r>
            <w:r>
              <w:rPr>
                <w:rFonts w:ascii="SimSun" w:hAnsi="SimSun"/>
                <w:b w:val="false"/>
                <w:i w:val="false"/>
                <w:color w:val="000000"/>
                <w:sz w:val="21"/>
              </w:rPr>
              <w:t>Operating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编译</w:t>
            </w:r>
            <w:r>
              <w:br/>
            </w:r>
            <w:r>
              <w:rPr>
                <w:rFonts w:ascii="SimSun" w:hAnsi="SimSun"/>
                <w:b w:val="false"/>
                <w:i w:val="false"/>
                <w:color w:val="000000"/>
                <w:sz w:val="21"/>
              </w:rPr>
              <w:t>Compilers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CS30017</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&amp; Machine Learning</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第二外语课程（8学分）
      </w:t>
      </w:r>
    </w:p>
    <w:p>
      <w:pPr>
        <w:spacing w:after="0"/>
        <w:ind w:left="0"/>
        <w:jc w:val="left"/>
      </w:pPr>
      <w:r>
        <w:rPr>
          <w:rFonts w:ascii="SimSun" w:hAnsi="SimSun"/>
          <w:b w:val="false"/>
          <w:i w:val="false"/>
          <w:color w:val="000000"/>
          <w:sz w:val="21"/>
        </w:rPr>
        <w:t xml:space="preserve">
       任选一组修读。
      </w:t>
      </w:r>
    </w:p>
    <w:p>
      <w:pPr>
        <w:spacing w:after="0"/>
        <w:ind w:left="0"/>
        <w:jc w:val="left"/>
      </w:pPr>
      <w:r>
        <w:rPr>
          <w:rFonts w:ascii="SimSun" w:hAnsi="SimSun"/>
          <w:b/>
          <w:i w:val="false"/>
          <w:color w:val="000000"/>
          <w:sz w:val="21"/>
        </w:rPr>
        <w:t xml:space="preserve">
       a) 日语组（8学分）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第二外语(日语)(上)</w:t>
            </w:r>
            <w:r>
              <w:br/>
            </w:r>
            <w:r>
              <w:rPr>
                <w:rFonts w:ascii="SimSun" w:hAnsi="SimSun"/>
                <w:b w:val="false"/>
                <w:i w:val="false"/>
                <w:color w:val="000000"/>
                <w:sz w:val="21"/>
              </w:rPr>
              <w:t>Japanese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第二外语(日语)(下)</w:t>
            </w:r>
            <w:r>
              <w:br/>
            </w:r>
            <w:r>
              <w:rPr>
                <w:rFonts w:ascii="SimSun" w:hAnsi="SimSun"/>
                <w:b w:val="false"/>
                <w:i w:val="false"/>
                <w:color w:val="000000"/>
                <w:sz w:val="21"/>
              </w:rPr>
              <w:t>Japanese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法语组（8学分）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第二外语(法语)(上)</w:t>
            </w:r>
            <w:r>
              <w:br/>
            </w:r>
            <w:r>
              <w:rPr>
                <w:rFonts w:ascii="SimSun" w:hAnsi="SimSun"/>
                <w:b w:val="false"/>
                <w:i w:val="false"/>
                <w:color w:val="000000"/>
                <w:sz w:val="21"/>
              </w:rPr>
              <w:t>French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第二外语(法语)(下)</w:t>
            </w:r>
            <w:r>
              <w:br/>
            </w:r>
            <w:r>
              <w:rPr>
                <w:rFonts w:ascii="SimSun" w:hAnsi="SimSun"/>
                <w:b w:val="false"/>
                <w:i w:val="false"/>
                <w:color w:val="000000"/>
                <w:sz w:val="21"/>
              </w:rPr>
              <w:t>French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德语组（8学分）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第二外语(德语)(上)</w:t>
            </w:r>
            <w:r>
              <w:br/>
            </w:r>
            <w:r>
              <w:rPr>
                <w:rFonts w:ascii="SimSun" w:hAnsi="SimSun"/>
                <w:b w:val="false"/>
                <w:i w:val="false"/>
                <w:color w:val="000000"/>
                <w:sz w:val="21"/>
              </w:rPr>
              <w:t>German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第二外语(德语)(下)</w:t>
            </w:r>
            <w:r>
              <w:br/>
            </w:r>
            <w:r>
              <w:rPr>
                <w:rFonts w:ascii="SimSun" w:hAnsi="SimSun"/>
                <w:b w:val="false"/>
                <w:i w:val="false"/>
                <w:color w:val="000000"/>
                <w:sz w:val="21"/>
              </w:rPr>
              <w:t>German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FORE20016</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俄语组（8学分）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第二外语(俄语)(上)</w:t>
            </w:r>
            <w:r>
              <w:br/>
            </w:r>
            <w:r>
              <w:rPr>
                <w:rFonts w:ascii="SimSun" w:hAnsi="SimSun"/>
                <w:b w:val="false"/>
                <w:i w:val="false"/>
                <w:color w:val="000000"/>
                <w:sz w:val="21"/>
              </w:rPr>
              <w:t>Russian as a Second Foreign Language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第二外语(俄语)(下)</w:t>
            </w:r>
            <w:r>
              <w:br/>
            </w:r>
            <w:r>
              <w:rPr>
                <w:rFonts w:ascii="SimSun" w:hAnsi="SimSun"/>
                <w:b w:val="false"/>
                <w:i w:val="false"/>
                <w:color w:val="000000"/>
                <w:sz w:val="21"/>
              </w:rPr>
              <w:t>Russian as a Second Foreign Language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 西班牙语组（8学分）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第二外语(西班牙语)(上)</w:t>
            </w:r>
            <w:r>
              <w:br/>
            </w:r>
            <w:r>
              <w:rPr>
                <w:rFonts w:ascii="SimSun" w:hAnsi="SimSun"/>
                <w:b w:val="false"/>
                <w:i w:val="false"/>
                <w:color w:val="000000"/>
                <w:sz w:val="21"/>
              </w:rPr>
              <w:t>Second Foreign Language (Spanish)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第二外语(西班牙语)(下)</w:t>
            </w:r>
            <w:r>
              <w:br/>
            </w:r>
            <w:r>
              <w:rPr>
                <w:rFonts w:ascii="SimSun" w:hAnsi="SimSun"/>
                <w:b w:val="false"/>
                <w:i w:val="false"/>
                <w:color w:val="000000"/>
                <w:sz w:val="21"/>
              </w:rPr>
              <w:t>Second Foreign Language (Spanish) Ⅱ</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专业进阶课程（18学分）
      </w:t>
      </w:r>
    </w:p>
    <w:p>
      <w:pPr>
        <w:spacing w:after="0"/>
        <w:ind w:left="0"/>
        <w:jc w:val="left"/>
      </w:pPr>
      <w:r>
        <w:rPr>
          <w:rFonts w:ascii="SimSun" w:hAnsi="SimSun"/>
          <w:b w:val="false"/>
          <w:i w:val="false"/>
          <w:color w:val="000000"/>
          <w:sz w:val="21"/>
        </w:rPr>
        <w:t xml:space="preserve">
       修满18学分。其中A组课程为第一学位课程，修读8学分。B组为第二学位课程，修读10学分。专业进阶课程设置如下：
      </w:t>
      </w:r>
    </w:p>
    <w:p>
      <w:pPr>
        <w:spacing w:after="0"/>
        <w:ind w:left="0"/>
        <w:jc w:val="left"/>
      </w:pPr>
      <w:r>
        <w:rPr>
          <w:rFonts w:ascii="SimSun" w:hAnsi="SimSun"/>
          <w:b/>
          <w:i w:val="false"/>
          <w:color w:val="000000"/>
          <w:sz w:val="21"/>
        </w:rPr>
        <w:t xml:space="preserve">
       a) A组（8学分）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听说沙龙</w:t>
            </w:r>
            <w:r>
              <w:br/>
            </w:r>
            <w:r>
              <w:rPr>
                <w:rFonts w:ascii="SimSun" w:hAnsi="SimSun"/>
                <w:b w:val="false"/>
                <w:i w:val="false"/>
                <w:color w:val="000000"/>
                <w:sz w:val="21"/>
              </w:rPr>
              <w:t>Listen and Lecture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Python与语料库翻译</w:t>
            </w:r>
            <w:r>
              <w:br/>
            </w:r>
            <w:r>
              <w:rPr>
                <w:rFonts w:ascii="SimSun" w:hAnsi="SimSun"/>
                <w:b w:val="false"/>
                <w:i w:val="false"/>
                <w:color w:val="000000"/>
                <w:sz w:val="21"/>
              </w:rPr>
              <w:t>Python and Corpus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口译工作坊</w:t>
            </w:r>
            <w:r>
              <w:br/>
            </w:r>
            <w:r>
              <w:rPr>
                <w:rFonts w:ascii="SimSun" w:hAnsi="SimSun"/>
                <w:b w:val="false"/>
                <w:i w:val="false"/>
                <w:color w:val="000000"/>
                <w:sz w:val="21"/>
              </w:rPr>
              <w:t>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实用文体翻译</w:t>
            </w:r>
            <w:r>
              <w:br/>
            </w:r>
            <w:r>
              <w:rPr>
                <w:rFonts w:ascii="SimSun" w:hAnsi="SimSun"/>
                <w:b w:val="false"/>
                <w:i w:val="false"/>
                <w:color w:val="000000"/>
                <w:sz w:val="21"/>
              </w:rPr>
              <w:t>A Course in Pragmatic Translating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翻译理论与策略</w:t>
            </w:r>
            <w:r>
              <w:br/>
            </w:r>
            <w:r>
              <w:rPr>
                <w:rFonts w:ascii="SimSun" w:hAnsi="SimSun"/>
                <w:b w:val="false"/>
                <w:i w:val="false"/>
                <w:color w:val="000000"/>
                <w:sz w:val="21"/>
              </w:rPr>
              <w:t>Theories and Strategies of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联合国会议口译专题</w:t>
            </w:r>
            <w:r>
              <w:br/>
            </w:r>
            <w:r>
              <w:rPr>
                <w:rFonts w:ascii="SimSun" w:hAnsi="SimSun"/>
                <w:b w:val="false"/>
                <w:i w:val="false"/>
                <w:color w:val="000000"/>
                <w:sz w:val="21"/>
              </w:rPr>
              <w:t>UN Conference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口译职业与伦理</w:t>
            </w:r>
            <w:r>
              <w:br/>
            </w:r>
            <w:r>
              <w:rPr>
                <w:rFonts w:ascii="SimSun" w:hAnsi="SimSun"/>
                <w:b w:val="false"/>
                <w:i w:val="false"/>
                <w:color w:val="000000"/>
                <w:sz w:val="21"/>
              </w:rPr>
              <w:t>Interpreting Profession and Interpreter Ethics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 融合的翻译研究与实践</w:t>
            </w:r>
            <w:r>
              <w:br/>
            </w:r>
            <w:r>
              <w:rPr>
                <w:rFonts w:ascii="SimSun" w:hAnsi="SimSun"/>
                <w:b w:val="false"/>
                <w:i w:val="false"/>
                <w:color w:val="000000"/>
                <w:sz w:val="21"/>
              </w:rPr>
              <w:t>AI-assisted Translation Practice and Research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TS60001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概率论与数理统计A</w:t>
            </w:r>
            <w:r>
              <w:br/>
            </w:r>
            <w:r>
              <w:rPr>
                <w:rFonts w:ascii="SimSun" w:hAnsi="SimSun"/>
                <w:b w:val="false"/>
                <w:i w:val="false"/>
                <w:color w:val="000000"/>
                <w:sz w:val="21"/>
              </w:rPr>
              <w:t>Probability and Mathematical Statistics 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代数结构与数理逻辑</w:t>
            </w:r>
            <w:r>
              <w:br/>
            </w:r>
            <w:r>
              <w:rPr>
                <w:rFonts w:ascii="SimSun" w:hAnsi="SimSun"/>
                <w:b w:val="false"/>
                <w:i w:val="false"/>
                <w:color w:val="000000"/>
                <w:sz w:val="21"/>
              </w:rPr>
              <w:t>Algebra Structure and Mathematical Logic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计算理论基础</w:t>
            </w:r>
            <w:r>
              <w:br/>
            </w:r>
            <w:r>
              <w:rPr>
                <w:rFonts w:ascii="SimSun" w:hAnsi="SimSun"/>
                <w:b w:val="false"/>
                <w:i w:val="false"/>
                <w:color w:val="000000"/>
                <w:sz w:val="21"/>
              </w:rPr>
              <w:t>Fundamentals of Computation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云计算与虚拟化技术</w:t>
            </w:r>
            <w:r>
              <w:br/>
            </w:r>
            <w:r>
              <w:rPr>
                <w:rFonts w:ascii="SimSun" w:hAnsi="SimSun"/>
                <w:b w:val="false"/>
                <w:i w:val="false"/>
                <w:color w:val="000000"/>
                <w:sz w:val="21"/>
              </w:rPr>
              <w:t>Cloud Computing and Virtualization Technology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分布式系统</w:t>
            </w:r>
            <w:r>
              <w:br/>
            </w:r>
            <w:r>
              <w:rPr>
                <w:rFonts w:ascii="SimSun" w:hAnsi="SimSun"/>
                <w:b w:val="false"/>
                <w:i w:val="false"/>
                <w:color w:val="000000"/>
                <w:sz w:val="21"/>
              </w:rPr>
              <w:t>Distributed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德语基本功训练和文学基本素养培育的同时，积极申请复芏计划（FDUROP）项目（䇹政、望道、登辉和曦源），激发创新志趣。多渠道支持学生参加国内国际高水平学术交流，鼓励学生参加国内国际高水平创新竞赛（“外教社杯”全国高校英语演讲比赛、“外研社·国才杯”“理解当代中国”全国大学生外语能力大赛英语组、翻译组及全国口译大赛，韩素英翻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