
<file path=[Content_Types].xml><?xml version="1.0" encoding="utf-8"?>
<Types xmlns="http://schemas.openxmlformats.org/package/2006/content-types">
  <Default Extension="jpeg" ContentType="image/jpeg"/>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image/png" PartName="/word/media/document_image_rId4.png"/>
  <Override ContentType="image/png" PartName="/word/media/document_image_rId6.png"/>
  <Override ContentType="image/png" PartName="/word/media/document_image_rId7.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body>
    <w:p>
      <w:pPr>
        <w:spacing w:after="0"/>
        <w:ind w:left="0"/>
        <w:jc w:val="center"/>
      </w:pPr>
      <w:r>
        <w:rPr>
          <w:rFonts w:ascii="SimSun" w:hAnsi="SimSun"/>
          <w:b w:val="false"/>
          <w:i w:val="false"/>
          <w:color w:val="000000"/>
          <w:sz w:val="21"/>
        </w:rPr>
        <w:t xml:space="preserve">
    </w:t>
      </w:r>
      <w:r>
        <w:drawing>
          <wp:inline distT="0" distB="0" distL="0" distR="0">
            <wp:extent cx="2395525" cy="780225"/>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395525" cy="780225"/>
                    </a:xfrm>
                    <a:prstGeom prst="rect">
                      <a:avLst/>
                    </a:prstGeom>
                  </pic:spPr>
                </pic:pic>
              </a:graphicData>
            </a:graphic>
          </wp:inline>
        </w:drawing>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r>
        <w:rPr>
          <w:rFonts w:ascii="SimSun" w:hAnsi="SimSun"/>
          <w:b/>
          <w:i w:val="false"/>
          <w:color w:val="000000"/>
          <w:sz w:val="44"/>
        </w:rPr>
        <w:t>外国语言文学学院</w:t>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bookmarkStart w:id="0" w:name="print-title"/>
      <w:r>
        <w:rPr>
          <w:rFonts w:ascii="SimSun" w:hAnsi="SimSun"/>
          <w:b/>
          <w:i w:val="false"/>
          <w:color w:val="000000"/>
          <w:sz w:val="44"/>
        </w:rPr>
        <w:t>2026西班牙语-计算机科学与技术双学士学位项目培养方案</w:t>
      </w:r>
      <w:bookmarkEnd w:id="0"/>
      <w:r>
        <w:rPr>
          <w:rFonts w:ascii="SimSun" w:hAnsi="SimSun"/>
          <w:b w:val="false"/>
          <w:i w:val="false"/>
          <w:color w:val="000000"/>
          <w:sz w:val="21"/>
        </w:rPr>
        <w:t xml:space="preserve">
   </w:t>
      </w:r>
    </w:p>
    <w:p>
      <w:pPr>
        <w:spacing w:after="0"/>
        <w:ind w:left="0"/>
        <w:jc w:val="left"/>
      </w:pPr>
      <w:r>
        <w:rPr>
          <w:rFonts w:ascii="SimSun" w:hAnsi="SimSun"/>
          <w:b/>
          <w:i w:val="false"/>
          <w:color w:val="000000"/>
          <w:sz w:val="24"/>
        </w:rPr>
        <w:t xml:space="preserve">
       一.    学科专业简介
      </w:t>
      </w:r>
    </w:p>
    <w:p>
      <w:pPr>
        <w:spacing w:after="0"/>
        <w:ind w:left="0"/>
        <w:jc w:val="left"/>
      </w:pPr>
      <w:r>
        <w:rPr>
          <w:rFonts w:ascii="SimSun" w:hAnsi="SimSun"/>
          <w:b w:val="false"/>
          <w:i w:val="false"/>
          <w:color w:val="000000"/>
          <w:sz w:val="21"/>
        </w:rPr>
        <w:t>复旦大学西班牙语教学始于1977年，在时任校长苏步青先生的大力支持下，首届西语学生于1978年赴墨西哥学院深造，其中诞生了陈众议等对中西、中拉交往产生重要影响的校友。2016年，新的西班牙语语言文学系成立。西班牙文系的教师从国内外知名大学获得博士学位，都曾经长期在对象国学习工作，研究领域覆盖文学、语言学、翻译学和国别研究。本专业为社会培养了大量精通西班牙语、富有人文精神、饱含中国情怀、具备国际视野的优秀人才。</w:t>
      </w:r>
    </w:p>
    <w:p>
      <w:pPr>
        <w:spacing w:after="0"/>
        <w:ind w:left="0"/>
        <w:jc w:val="left"/>
      </w:pPr>
      <w:r>
        <w:rPr>
          <w:rFonts w:ascii="SimSun" w:hAnsi="SimSun"/>
          <w:b/>
          <w:i w:val="false"/>
          <w:color w:val="000000"/>
          <w:sz w:val="24"/>
        </w:rPr>
        <w:t xml:space="preserve">
       二.    培养目标
      </w:t>
      </w:r>
    </w:p>
    <w:p>
      <w:pPr>
        <w:spacing w:after="0"/>
        <w:ind w:left="0"/>
        <w:jc w:val="left"/>
      </w:pPr>
      <w:r>
        <w:rPr>
          <w:rFonts w:ascii="SimSun" w:hAnsi="SimSun"/>
          <w:b w:val="false"/>
          <w:i w:val="false"/>
          <w:color w:val="000000"/>
          <w:sz w:val="21"/>
        </w:rPr>
        <w:t>本专业对接国家“新文科”“新工科”建设的需求，旨在培养德智体美劳全面发展，具有扎实语言功底、良好人文素养、宽阔国际视野，培养通晓西班牙语语言学和文学专业知识，具备高水准的西班牙语交际技能，兼具计算机科学跨学科背景、符合国家建设和社会发展所需要的复合型拔尖创新人才。</w:t>
      </w:r>
      <w:r>
        <w:br/>
      </w:r>
      <w:r>
        <w:rPr>
          <w:rFonts w:ascii="SimSun" w:hAnsi="SimSun"/>
          <w:b w:val="false"/>
          <w:i w:val="false"/>
          <w:color w:val="000000"/>
          <w:sz w:val="21"/>
        </w:rPr>
        <w:t>要求学生掌握西班牙语语言学和文学基础知识；具有较强的跨文化交际能力；具有扎实的西班牙语语言基础和较熟练的听、说、读、写、译能力；具有良好的汉语表达能力和基本调研能力；具有扎实的计算机软、硬件基本理论、基本知识和基本实践技能；具有能够将数字工具和理论运用到语言信息处理、人工智能开发、数字人文研究等跨学科领域的创新意识和能力。</w:t>
      </w:r>
    </w:p>
    <w:p>
      <w:pPr>
        <w:spacing w:after="0"/>
        <w:ind w:left="0"/>
        <w:jc w:val="left"/>
      </w:pPr>
      <w:r>
        <w:rPr>
          <w:rFonts w:ascii="SimSun" w:hAnsi="SimSun"/>
          <w:b/>
          <w:i w:val="false"/>
          <w:color w:val="000000"/>
          <w:sz w:val="24"/>
        </w:rPr>
        <w:t xml:space="preserve">
       三.    基本要求
      </w:t>
      </w:r>
    </w:p>
    <w:p>
      <w:pPr>
        <w:spacing w:after="0"/>
        <w:ind w:left="0"/>
        <w:jc w:val="left"/>
      </w:pPr>
      <w:r>
        <w:drawing>
          <wp:inline distT="0" distB="0" distL="0" distR="0">
            <wp:extent cx="5732145" cy="2386358"/>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2145" cy="2386358"/>
                    </a:xfrm>
                    <a:prstGeom prst="rect">
                      <a:avLst/>
                    </a:prstGeom>
                  </pic:spPr>
                </pic:pic>
              </a:graphicData>
            </a:graphic>
          </wp:inline>
        </w:drawing>
      </w:r>
    </w:p>
    <w:p>
      <w:pPr>
        <w:spacing w:after="0"/>
        <w:ind w:left="0"/>
        <w:jc w:val="left"/>
      </w:pPr>
      <w:r>
        <w:rPr>
          <w:rFonts w:ascii="SimSun" w:hAnsi="SimSun"/>
          <w:b/>
          <w:i w:val="false"/>
          <w:color w:val="000000"/>
          <w:sz w:val="24"/>
        </w:rPr>
        <w:t xml:space="preserve">
       四.    修业要求
      </w:t>
      </w:r>
    </w:p>
    <w:p>
      <w:pPr>
        <w:spacing w:after="0"/>
        <w:ind w:left="0"/>
        <w:jc w:val="left"/>
      </w:pPr>
      <w:r>
        <w:rPr>
          <w:rFonts w:ascii="SimSun" w:hAnsi="SimSun"/>
          <w:b w:val="false"/>
          <w:i w:val="false"/>
          <w:color w:val="000000"/>
          <w:sz w:val="21"/>
        </w:rPr>
        <w:t>1. 修业年限：4年（类型：♦本科、□本硕、□本博）</w:t>
      </w:r>
    </w:p>
    <w:p>
      <w:pPr>
        <w:spacing w:after="0"/>
        <w:ind w:left="0"/>
        <w:jc w:val="left"/>
      </w:pPr>
      <w:r>
        <w:rPr>
          <w:rFonts w:ascii="SimSun" w:hAnsi="SimSun"/>
          <w:b w:val="false"/>
          <w:i w:val="false"/>
          <w:color w:val="000000"/>
          <w:sz w:val="21"/>
        </w:rPr>
        <w:t>2. 学位授予说明：</w:t>
      </w:r>
    </w:p>
    <w:p>
      <w:pPr>
        <w:spacing w:after="0"/>
        <w:ind w:left="0"/>
        <w:jc w:val="left"/>
      </w:pPr>
      <w:r>
        <w:drawing>
          <wp:inline distT="0" distB="0" distL="0" distR="0">
            <wp:extent cx="5732145" cy="1977588"/>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2145" cy="1977588"/>
                    </a:xfrm>
                    <a:prstGeom prst="rect">
                      <a:avLst/>
                    </a:prstGeom>
                  </pic:spPr>
                </pic:pic>
              </a:graphicData>
            </a:graphic>
          </wp:inline>
        </w:drawing>
      </w:r>
    </w:p>
    <w:p>
      <w:pPr>
        <w:spacing w:after="0"/>
        <w:ind w:left="0"/>
        <w:jc w:val="left"/>
      </w:pPr>
      <w:r>
        <w:rPr>
          <w:rFonts w:ascii="SimSun" w:hAnsi="SimSun"/>
          <w:b/>
          <w:i w:val="false"/>
          <w:color w:val="000000"/>
          <w:sz w:val="24"/>
        </w:rPr>
        <w:t xml:space="preserve">
       五.    学分要求
      </w:t>
      </w:r>
    </w:p>
    <w:p>
      <w:pPr>
        <w:spacing w:after="0"/>
        <w:ind w:left="0"/>
        <w:jc w:val="left"/>
      </w:pPr>
      <w:r>
        <w:drawing>
          <wp:inline distT="0" distB="0" distL="0" distR="0">
            <wp:extent cx="5732145" cy="2746532"/>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2145" cy="2746532"/>
                    </a:xfrm>
                    <a:prstGeom prst="rect">
                      <a:avLst/>
                    </a:prstGeom>
                  </pic:spPr>
                </pic:pic>
              </a:graphicData>
            </a:graphic>
          </wp:inline>
        </w:drawing>
      </w:r>
    </w:p>
    <w:p>
      <w:pPr>
        <w:spacing w:after="0"/>
        <w:ind w:left="0"/>
        <w:jc w:val="left"/>
      </w:pPr>
      <w:r>
        <w:rPr>
          <w:rFonts w:ascii="SimSun" w:hAnsi="SimSun"/>
          <w:b w:val="false"/>
          <w:i w:val="false"/>
          <w:color w:val="000000"/>
          <w:sz w:val="21"/>
        </w:rPr>
        <w:t>1. 专业进阶路径：175学分</w:t>
      </w:r>
    </w:p>
    <w:p>
      <w:pPr>
        <w:spacing w:after="0"/>
        <w:ind w:left="0"/>
        <w:jc w:val="left"/>
      </w:pPr>
      <w:r>
        <w:rPr>
          <w:rFonts w:ascii="SimSun" w:hAnsi="SimSun"/>
          <w:b w:val="false"/>
          <w:i w:val="false"/>
          <w:color w:val="000000"/>
          <w:sz w:val="21"/>
        </w:rPr>
        <w:t>本路径学生需要完成175学分（含实践学分不低于27学分；含美育学分不少于2学分，其中至少在“美学和艺术史论类”或“艺术鉴赏和评论类”课程中修读1学分，并至少参与一项艺术实践活动；劳动教育不少于32学时，并满足劳动周教育要求），包括通识教育课程38学分、专业培养课程113学分、专业进阶课程18分、融合创新能力模块6学分。</w:t>
      </w:r>
    </w:p>
    <w:p>
      <w:pPr>
        <w:spacing w:after="0"/>
        <w:ind w:left="0"/>
        <w:jc w:val="left"/>
      </w:pPr>
      <w:r>
        <w:rPr>
          <w:rFonts w:ascii="SimSun" w:hAnsi="SimSun"/>
          <w:b w:val="false"/>
          <w:i w:val="false"/>
          <w:color w:val="000000"/>
          <w:sz w:val="21"/>
        </w:rPr>
        <w:t>2. 本科荣誉项目：175学分</w:t>
      </w:r>
    </w:p>
    <w:p>
      <w:pPr>
        <w:spacing w:after="0"/>
        <w:ind w:left="0"/>
        <w:jc w:val="left"/>
      </w:pPr>
      <w:r>
        <w:rPr>
          <w:rFonts w:ascii="SimSun" w:hAnsi="SimSun"/>
          <w:b w:val="false"/>
          <w:i w:val="false"/>
          <w:color w:val="000000"/>
          <w:sz w:val="21"/>
        </w:rPr>
        <w:t xml:space="preserve">在专业进阶路径基础上，修读荣誉课程不少于6门课。荣誉项目课程设置和修读要求请见西班牙语专业“本科荣誉项目”实施方案。下载地址：https://jwc.fudan.edu.cn/（复旦大学教务处）专业培养-常用文档。 </w:t>
      </w:r>
    </w:p>
    <w:p>
      <w:pPr>
        <w:spacing w:after="0"/>
        <w:ind w:left="0"/>
        <w:jc w:val="left"/>
      </w:pPr>
      <w:r>
        <w:rPr>
          <w:rFonts w:ascii="SimSun" w:hAnsi="SimSun"/>
          <w:b/>
          <w:i w:val="false"/>
          <w:color w:val="000000"/>
          <w:sz w:val="24"/>
        </w:rPr>
        <w:t xml:space="preserve">
       六.    学位要求
      </w:t>
      </w:r>
    </w:p>
    <w:p>
      <w:pPr>
        <w:spacing w:after="0"/>
        <w:ind w:left="0"/>
        <w:jc w:val="left"/>
      </w:pPr>
      <w:r>
        <w:rPr>
          <w:rFonts w:ascii="SimSun" w:hAnsi="SimSun"/>
          <w:b w:val="false"/>
          <w:i w:val="false"/>
          <w:color w:val="000000"/>
          <w:sz w:val="21"/>
        </w:rPr>
        <w:t xml:space="preserve">4年级结束时，如达到学士学位要求者授予文学、理学学士学位。  </w:t>
      </w:r>
    </w:p>
    <w:p>
      <w:pPr>
        <w:spacing w:after="0"/>
        <w:ind w:left="0"/>
        <w:jc w:val="left"/>
      </w:pPr>
      <w:r>
        <w:rPr>
          <w:rFonts w:ascii="SimSun" w:hAnsi="SimSun"/>
          <w:b w:val="false"/>
          <w:i w:val="false"/>
          <w:color w:val="000000"/>
          <w:sz w:val="21"/>
        </w:rPr>
        <w:t>（1）修满规定的学分，达到本科教学培养方案规定的各项要求。</w:t>
      </w:r>
    </w:p>
    <w:p>
      <w:pPr>
        <w:spacing w:after="0"/>
        <w:ind w:left="0"/>
        <w:jc w:val="left"/>
      </w:pPr>
      <w:r>
        <w:rPr>
          <w:rFonts w:ascii="SimSun" w:hAnsi="SimSun"/>
          <w:b w:val="false"/>
          <w:i w:val="false"/>
          <w:color w:val="000000"/>
          <w:sz w:val="21"/>
        </w:rPr>
        <w:t>（2）以符合学生毕业时所在专业教学培养方案规定的所有课程的有效成绩为准计算平均绩点，且此平均绩点大于或等于2.0。</w:t>
      </w:r>
    </w:p>
    <w:p>
      <w:pPr>
        <w:spacing w:after="0"/>
        <w:ind w:left="0"/>
        <w:jc w:val="left"/>
      </w:pPr>
      <w:r>
        <w:rPr>
          <w:rFonts w:ascii="SimSun" w:hAnsi="SimSun"/>
          <w:b w:val="false"/>
          <w:i w:val="false"/>
          <w:color w:val="000000"/>
          <w:sz w:val="21"/>
        </w:rPr>
        <w:t>（3）在此基础上，达到西班牙语专业“本科荣誉证书”获得条件的授予“本科荣誉证书”，具体要求请见西班牙语专业“本科荣誉项目”实施方案。</w:t>
      </w:r>
    </w:p>
    <w:p>
      <w:pPr>
        <w:spacing w:after="0"/>
        <w:ind w:left="0"/>
        <w:jc w:val="left"/>
      </w:pPr>
      <w:r>
        <w:rPr>
          <w:rFonts w:ascii="SimSun" w:hAnsi="SimSun"/>
          <w:b/>
          <w:i w:val="false"/>
          <w:color w:val="000000"/>
          <w:sz w:val="24"/>
        </w:rPr>
        <w:t xml:space="preserve">
       七.    课程体系与科研训练体系
      </w:t>
      </w:r>
    </w:p>
    <w:p>
      <w:pPr>
        <w:spacing w:after="0"/>
        <w:ind w:left="0"/>
        <w:jc w:val="left"/>
      </w:pPr>
      <w:r>
        <w:drawing>
          <wp:inline distT="0" distB="0" distL="0" distR="0">
            <wp:extent cx="5731624" cy="2244433"/>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624" cy="2244433"/>
                    </a:xfrm>
                    <a:prstGeom prst="rect">
                      <a:avLst/>
                    </a:prstGeom>
                  </pic:spPr>
                </pic:pic>
              </a:graphicData>
            </a:graphic>
          </wp:inline>
        </w:drawing>
      </w:r>
    </w:p>
    <w:p>
      <w:pPr>
        <w:spacing w:after="0"/>
        <w:ind w:left="0"/>
        <w:jc w:val="left"/>
      </w:pPr>
      <w:r>
        <w:rPr>
          <w:rFonts w:ascii="SimSun" w:hAnsi="SimSun"/>
          <w:b w:val="false"/>
          <w:i w:val="false"/>
          <w:color w:val="000000"/>
          <w:sz w:val="21"/>
        </w:rPr>
        <w:t>1.课程体系</w:t>
      </w:r>
    </w:p>
    <w:p>
      <w:pPr>
        <w:spacing w:after="0"/>
        <w:ind w:left="0"/>
        <w:jc w:val="left"/>
      </w:pPr>
      <w:r>
        <w:rPr>
          <w:rFonts w:ascii="SimSun" w:hAnsi="SimSun"/>
          <w:b w:val="false"/>
          <w:i w:val="false"/>
          <w:color w:val="000000"/>
          <w:sz w:val="21"/>
        </w:rPr>
        <w:t>以覆盖西班牙语语言能力训练和计算机科学技术知识及素养培育的课程为基础建立了西班牙语+计算机科学与技术双学士学位核心课程体系，以研究领域为横、课程内容梯度为纵建立了难度逐级提升的本研融通的专业进阶课程体系。体系中有3门课程开设了荣誉项目版本，鼓励学生修读，挑战自我。</w:t>
      </w:r>
    </w:p>
    <w:p>
      <w:pPr>
        <w:spacing w:after="0"/>
        <w:ind w:left="0"/>
        <w:jc w:val="left"/>
      </w:pPr>
      <w:r>
        <w:rPr>
          <w:rFonts w:ascii="SimSun" w:hAnsi="SimSun"/>
          <w:b w:val="false"/>
          <w:i w:val="false"/>
          <w:color w:val="000000"/>
          <w:sz w:val="21"/>
        </w:rPr>
        <w:t>2.科研实践体系</w:t>
      </w:r>
    </w:p>
    <w:p>
      <w:pPr>
        <w:spacing w:after="0"/>
        <w:ind w:left="0"/>
        <w:jc w:val="left"/>
      </w:pPr>
      <w:r>
        <w:rPr>
          <w:rFonts w:ascii="SimSun" w:hAnsi="SimSun"/>
          <w:b w:val="false"/>
          <w:i w:val="false"/>
          <w:color w:val="000000"/>
          <w:sz w:val="21"/>
        </w:rPr>
        <w:t>鼓励并指导学生参与各类西班牙语语言文化能力竞赛，引导学生进入系内教师课题组轮转，培育科研兴趣。通过复芏计划等项目引导学生在“做中学、学中悟、悟中创”，激发创新志趣。</w:t>
      </w:r>
    </w:p>
    <w:p>
      <w:pPr>
        <w:spacing w:after="0"/>
        <w:ind w:left="0"/>
        <w:jc w:val="left"/>
      </w:pPr>
      <w:r>
        <w:rPr>
          <w:rFonts w:ascii="SimSun" w:hAnsi="SimSun"/>
          <w:b/>
          <w:i w:val="false"/>
          <w:color w:val="000000"/>
          <w:sz w:val="24"/>
        </w:rPr>
        <w:t xml:space="preserve">
       八.    课程设置与修读要求
      </w:t>
      </w:r>
    </w:p>
    <w:p>
      <w:pPr>
        <w:spacing w:after="0"/>
        <w:ind w:left="0"/>
        <w:jc w:val="left"/>
      </w:pPr>
      <w:r>
        <w:rPr>
          <w:rFonts w:ascii="SimSun" w:hAnsi="SimSun"/>
          <w:b w:val="false"/>
          <w:i w:val="false"/>
          <w:color w:val="000000"/>
          <w:sz w:val="21"/>
        </w:rPr>
        <w:t>备注：每学期选修学分不得超过32学分。</w:t>
      </w:r>
    </w:p>
    <w:p>
      <w:pPr>
        <w:spacing w:after="0"/>
        <w:ind w:left="0"/>
        <w:jc w:val="left"/>
      </w:pPr>
      <w:r>
        <w:rPr>
          <w:rFonts w:ascii="SimSun" w:hAnsi="SimSun"/>
          <w:b/>
          <w:i w:val="false"/>
          <w:color w:val="000000"/>
          <w:sz w:val="21"/>
        </w:rPr>
        <w:t xml:space="preserve">
       (一) 通识教育课程（38学分）
      </w:t>
      </w:r>
    </w:p>
    <w:p>
      <w:pPr>
        <w:spacing w:after="0"/>
        <w:ind w:left="0"/>
        <w:jc w:val="left"/>
      </w:pPr>
      <w:r>
        <w:rPr>
          <w:rFonts w:ascii="SimSun" w:hAnsi="SimSun"/>
          <w:b w:val="false"/>
          <w:i w:val="false"/>
          <w:color w:val="000000"/>
          <w:sz w:val="21"/>
        </w:rPr>
        <w:t xml:space="preserve">
       通识教育课程包括通识教育核心课程和专项教育课程。
      </w:t>
      </w:r>
    </w:p>
    <w:p>
      <w:pPr>
        <w:spacing w:after="0"/>
        <w:ind w:left="0"/>
        <w:jc w:val="left"/>
      </w:pPr>
      <w:r>
        <w:rPr>
          <w:rFonts w:ascii="SimSun" w:hAnsi="SimSun"/>
          <w:b/>
          <w:i w:val="false"/>
          <w:color w:val="000000"/>
          <w:sz w:val="21"/>
        </w:rPr>
        <w:t xml:space="preserve">
       1.  通识教育核心课程（25学分）
      </w:t>
      </w:r>
    </w:p>
    <w:p>
      <w:pPr>
        <w:spacing w:after="0"/>
        <w:ind w:left="0"/>
        <w:jc w:val="left"/>
      </w:pPr>
      <w:r>
        <w:rPr>
          <w:rFonts w:ascii="SimSun" w:hAnsi="SimSun"/>
          <w:b w:val="false"/>
          <w:i w:val="false"/>
          <w:color w:val="000000"/>
          <w:sz w:val="21"/>
        </w:rPr>
        <w:t xml:space="preserve">
       要求修读25学分，含思想政治理论课与创新课16学分，七大模块课程8学分（七大模块8学分中每模块最多修读1门课，除第七模块"艺术创作与审美体验"外，修读时须回避双学位专业所属两个院系开设的课程），大学生国家安全教育1学分。
      </w:t>
      </w:r>
    </w:p>
    <w:p>
      <w:pPr>
        <w:spacing w:after="0"/>
        <w:ind w:left="0"/>
        <w:jc w:val="left"/>
      </w:pPr>
      <w:r>
        <w:rPr>
          <w:rFonts w:ascii="SimSun" w:hAnsi="SimSun"/>
          <w:b/>
          <w:i w:val="false"/>
          <w:color w:val="000000"/>
          <w:sz w:val="21"/>
        </w:rPr>
        <w:t xml:space="preserve">
       2.  通识教育专项教育课程（13学分）
      </w:t>
      </w:r>
    </w:p>
    <w:p>
      <w:pPr>
        <w:spacing w:after="0"/>
        <w:ind w:left="0"/>
        <w:jc w:val="left"/>
      </w:pPr>
      <w:r>
        <w:rPr>
          <w:rFonts w:ascii="SimSun" w:hAnsi="SimSun"/>
          <w:b w:val="false"/>
          <w:i w:val="false"/>
          <w:color w:val="000000"/>
          <w:sz w:val="21"/>
        </w:rPr>
        <w:t xml:space="preserve">
       要求修读13学分（人工智能教学专项课程除外）。具体请参见专项教育课程列表。
      </w:t>
      </w:r>
    </w:p>
    <w:p>
      <w:pPr>
        <w:spacing w:after="0"/>
        <w:ind w:left="0"/>
        <w:jc w:val="left"/>
      </w:pPr>
      <w:r>
        <w:rPr>
          <w:rFonts w:ascii="SimSun" w:hAnsi="SimSun"/>
          <w:b/>
          <w:i w:val="false"/>
          <w:color w:val="000000"/>
          <w:sz w:val="21"/>
        </w:rPr>
        <w:t xml:space="preserve">
       (二) 专业培养课程（113学分）
      </w:t>
      </w:r>
    </w:p>
    <w:p>
      <w:pPr>
        <w:spacing w:after="0"/>
        <w:ind w:left="0"/>
        <w:jc w:val="left"/>
      </w:pPr>
      <w:r>
        <w:rPr>
          <w:rFonts w:ascii="SimSun" w:hAnsi="SimSun"/>
          <w:b w:val="false"/>
          <w:i w:val="false"/>
          <w:color w:val="000000"/>
          <w:sz w:val="21"/>
        </w:rPr>
        <w:t xml:space="preserve">
       专业培养课程包括学科基础课程和专业核心教育课程。
      </w:t>
      </w:r>
    </w:p>
    <w:p>
      <w:pPr>
        <w:spacing w:after="0"/>
        <w:ind w:left="0"/>
        <w:jc w:val="left"/>
      </w:pPr>
      <w:r>
        <w:rPr>
          <w:rFonts w:ascii="SimSun" w:hAnsi="SimSun"/>
          <w:b/>
          <w:i w:val="false"/>
          <w:color w:val="000000"/>
          <w:sz w:val="21"/>
        </w:rPr>
        <w:t xml:space="preserve">
       1.  学科基础课程（27学分）
      </w:t>
      </w:r>
    </w:p>
    <w:p>
      <w:pPr>
        <w:spacing w:after="0"/>
        <w:ind w:left="0"/>
        <w:jc w:val="left"/>
      </w:pPr>
      <w:r>
        <w:rPr>
          <w:rFonts w:ascii="SimSun" w:hAnsi="SimSun"/>
          <w:b w:val="false"/>
          <w:i w:val="false"/>
          <w:color w:val="000000"/>
          <w:sz w:val="21"/>
        </w:rPr>
        <w:t xml:space="preserve">
       要求修读27学分。学生应在学科基础课程中的人文基础理论课程（跨院系必修）中修满6学分（课程为“中国文学经典”“中国古代文明”）；在人文基础理论课程（跨院系选修）中修读2学分。在工学基础课程中修满19学分（课程为“微积分A I”“微积分A II”“线性代数B”“程序设计”）。学科基础课程应在一二年级修完。
      </w:t>
      </w:r>
    </w:p>
    <w:p>
      <w:pPr>
        <w:spacing w:after="0"/>
        <w:ind w:left="0"/>
        <w:jc w:val="left"/>
      </w:pPr>
      <w:r>
        <w:rPr>
          <w:rFonts w:ascii="SimSun" w:hAnsi="SimSun"/>
          <w:b/>
          <w:i w:val="false"/>
          <w:color w:val="000000"/>
          <w:sz w:val="21"/>
        </w:rPr>
        <w:t xml:space="preserve">
       (1) 人文基础课程（8学分）
      </w:t>
      </w:r>
    </w:p>
    <w:tbl>
      <w:tblPr>
        <w:tblW w:w="0" w:type="auto"/>
        <w:tblCellSpacing w:w="0" w:type="auto"/>
        <w:tblBorders>
          <w:top w:val="none"/>
          <w:left w:val="none"/>
          <w:bottom w:val="none"/>
          <w:right w:val="none"/>
          <w:insideH w:val="none"/>
          <w:insideV w:val="none"/>
        </w:tblBorders>
      </w:tblPr>
      <w:tblGrid>
        <w:gridCol w:w="2054"/>
        <w:gridCol w:w="2738"/>
        <w:gridCol w:w="684"/>
        <w:gridCol w:w="684"/>
        <w:gridCol w:w="958"/>
        <w:gridCol w:w="1451"/>
        <w:gridCol w:w="684"/>
        <w:gridCol w:w="684"/>
        <w:gridCol w:w="684"/>
        <w:gridCol w:w="684"/>
        <w:gridCol w:w="958"/>
        <w:gridCol w:w="1371"/>
      </w:tblGrid>
      <w:tr>
        <w:trPr>
          <w:trHeight w:val="45" w:hRule="atLeast"/>
        </w:trPr>
        <w:tc>
          <w:tcPr>
            <w:tcW w:w="205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课程模块</w:t>
            </w: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2054"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基础理论课程（跨院系必修）</w:t>
            </w:r>
            <w:r>
              <w:rPr>
                <w:rFonts w:ascii="SimSun" w:hAnsi="SimSun"/>
                <w:b w:val="false"/>
                <w:i w:val="false"/>
                <w:color w:val="000000"/>
                <w:sz w:val="21"/>
              </w:rPr>
              <w:t xml:space="preserve">
                      </w:t>
            </w: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中国古代文明</w:t>
            </w:r>
            <w:r>
              <w:br/>
            </w:r>
            <w:r>
              <w:rPr>
                <w:rFonts w:ascii="SimSun" w:hAnsi="SimSun"/>
                <w:b w:val="false"/>
                <w:i w:val="false"/>
                <w:color w:val="000000"/>
                <w:sz w:val="21"/>
              </w:rPr>
              <w:t>The Chinese Tradional Civilization</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HIST10006</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中国文学经典</w:t>
            </w:r>
            <w:r>
              <w:br/>
            </w:r>
            <w:r>
              <w:rPr>
                <w:rFonts w:ascii="SimSun" w:hAnsi="SimSun"/>
                <w:b w:val="false"/>
                <w:i w:val="false"/>
                <w:color w:val="000000"/>
                <w:sz w:val="21"/>
              </w:rPr>
              <w:t>Chinese Literary Classics</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CHIN10005</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2054"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基础理论课程（跨院系选修）</w:t>
            </w:r>
            <w:r>
              <w:rPr>
                <w:rFonts w:ascii="SimSun" w:hAnsi="SimSun"/>
                <w:b w:val="false"/>
                <w:i w:val="false"/>
                <w:color w:val="000000"/>
                <w:sz w:val="21"/>
              </w:rPr>
              <w:t xml:space="preserve">
                      </w:t>
            </w: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中国文学传统</w:t>
            </w:r>
            <w:r>
              <w:br/>
            </w:r>
            <w:r>
              <w:rPr>
                <w:rFonts w:ascii="SimSun" w:hAnsi="SimSun"/>
                <w:b w:val="false"/>
                <w:i w:val="false"/>
                <w:color w:val="000000"/>
                <w:sz w:val="21"/>
              </w:rPr>
              <w:t>Chinese Literary Tradition</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CHIN10001</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美学</w:t>
            </w:r>
            <w:r>
              <w:br/>
            </w:r>
            <w:r>
              <w:rPr>
                <w:rFonts w:ascii="SimSun" w:hAnsi="SimSun"/>
                <w:b w:val="false"/>
                <w:i w:val="false"/>
                <w:color w:val="000000"/>
                <w:sz w:val="21"/>
              </w:rPr>
              <w:t>Aesthetics</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CHIN10002</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语言与文化</w:t>
            </w:r>
            <w:r>
              <w:br/>
            </w:r>
            <w:r>
              <w:rPr>
                <w:rFonts w:ascii="SimSun" w:hAnsi="SimSun"/>
                <w:b w:val="false"/>
                <w:i w:val="false"/>
                <w:color w:val="000000"/>
                <w:sz w:val="21"/>
              </w:rPr>
              <w:t>Cultural Linguistics</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CHIN10006</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世界文明史通论</w:t>
            </w:r>
            <w:r>
              <w:br/>
            </w:r>
            <w:r>
              <w:rPr>
                <w:rFonts w:ascii="SimSun" w:hAnsi="SimSun"/>
                <w:b w:val="false"/>
                <w:i w:val="false"/>
                <w:color w:val="000000"/>
                <w:sz w:val="21"/>
              </w:rPr>
              <w:t>General History of World Civilizations</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HIST10004</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近代中国社会研究</w:t>
            </w:r>
            <w:r>
              <w:br/>
            </w:r>
            <w:r>
              <w:rPr>
                <w:rFonts w:ascii="SimSun" w:hAnsi="SimSun"/>
                <w:b w:val="false"/>
                <w:i w:val="false"/>
                <w:color w:val="000000"/>
                <w:sz w:val="21"/>
              </w:rPr>
              <w:t>Modern Chinese Society</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HIST10005</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新闻学概论</w:t>
            </w:r>
            <w:r>
              <w:br/>
            </w:r>
            <w:r>
              <w:rPr>
                <w:rFonts w:ascii="SimSun" w:hAnsi="SimSun"/>
                <w:b w:val="false"/>
                <w:i w:val="false"/>
                <w:color w:val="000000"/>
                <w:sz w:val="21"/>
              </w:rPr>
              <w:t>Introduction to Journalism</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JCM10002</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传播学概论</w:t>
            </w:r>
            <w:r>
              <w:br/>
            </w:r>
            <w:r>
              <w:rPr>
                <w:rFonts w:ascii="SimSun" w:hAnsi="SimSun"/>
                <w:b w:val="false"/>
                <w:i w:val="false"/>
                <w:color w:val="000000"/>
                <w:sz w:val="21"/>
              </w:rPr>
              <w:t>Introduction to Communications Studies</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JCM10003</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中国哲学</w:t>
            </w:r>
            <w:r>
              <w:br/>
            </w:r>
            <w:r>
              <w:rPr>
                <w:rFonts w:ascii="SimSun" w:hAnsi="SimSun"/>
                <w:b w:val="false"/>
                <w:i w:val="false"/>
                <w:color w:val="000000"/>
                <w:sz w:val="21"/>
              </w:rPr>
              <w:t>Chinese Philosophy</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ICLE10001</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汉语与中国文化</w:t>
            </w:r>
            <w:r>
              <w:br/>
            </w:r>
            <w:r>
              <w:rPr>
                <w:rFonts w:ascii="SimSun" w:hAnsi="SimSun"/>
                <w:b w:val="false"/>
                <w:i w:val="false"/>
                <w:color w:val="000000"/>
                <w:sz w:val="21"/>
              </w:rPr>
              <w:t>Chinese and Chinese Culture</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ICLE10015</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跨文化交流理论与实践</w:t>
            </w:r>
            <w:r>
              <w:br/>
            </w:r>
            <w:r>
              <w:rPr>
                <w:rFonts w:ascii="SimSun" w:hAnsi="SimSun"/>
                <w:b w:val="false"/>
                <w:i w:val="false"/>
                <w:color w:val="000000"/>
                <w:sz w:val="21"/>
              </w:rPr>
              <w:t>The Theory and Practice of Intercultural Communication</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ICLE10016</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95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工学基础课程（19学分）
      </w:t>
      </w:r>
    </w:p>
    <w:tbl>
      <w:tblPr>
        <w:tblW w:w="0" w:type="auto"/>
        <w:tblCellSpacing w:w="0" w:type="auto"/>
        <w:tblBorders>
          <w:top w:val="none"/>
          <w:left w:val="none"/>
          <w:bottom w:val="none"/>
          <w:right w:val="none"/>
          <w:insideH w:val="none"/>
          <w:insideV w:val="none"/>
        </w:tblBorders>
      </w:tblPr>
      <w:tblGrid>
        <w:gridCol w:w="3191"/>
        <w:gridCol w:w="797"/>
        <w:gridCol w:w="806"/>
        <w:gridCol w:w="1117"/>
        <w:gridCol w:w="1818"/>
        <w:gridCol w:w="797"/>
        <w:gridCol w:w="797"/>
        <w:gridCol w:w="798"/>
        <w:gridCol w:w="798"/>
        <w:gridCol w:w="1117"/>
        <w:gridCol w:w="1598"/>
      </w:tblGrid>
      <w:tr>
        <w:trPr>
          <w:trHeight w:val="45" w:hRule="atLeast"/>
        </w:trPr>
        <w:tc>
          <w:tcPr>
            <w:tcW w:w="319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79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8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79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79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19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微积分AⅠ</w:t>
            </w:r>
            <w:r>
              <w:br/>
            </w:r>
            <w:r>
              <w:rPr>
                <w:rFonts w:ascii="SimSun" w:hAnsi="SimSun"/>
                <w:b w:val="false"/>
                <w:i w:val="false"/>
                <w:color w:val="000000"/>
                <w:sz w:val="21"/>
              </w:rPr>
              <w:t>Calculus A Ⅰ</w:t>
            </w:r>
          </w:p>
        </w:tc>
        <w:tc>
          <w:tcPr>
            <w:tcW w:w="79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108.0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MATH10026</w:t>
            </w:r>
          </w:p>
        </w:tc>
        <w:tc>
          <w:tcPr>
            <w:tcW w:w="79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0.4</w:t>
            </w:r>
          </w:p>
        </w:tc>
        <w:tc>
          <w:tcPr>
            <w:tcW w:w="797"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程序设计</w:t>
            </w:r>
            <w:r>
              <w:br/>
            </w:r>
            <w:r>
              <w:rPr>
                <w:rFonts w:ascii="SimSun" w:hAnsi="SimSun"/>
                <w:b w:val="false"/>
                <w:i w:val="false"/>
                <w:color w:val="000000"/>
                <w:sz w:val="21"/>
              </w:rPr>
              <w:t>Programming</w:t>
            </w:r>
          </w:p>
        </w:tc>
        <w:tc>
          <w:tcPr>
            <w:tcW w:w="79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CS10004</w:t>
            </w:r>
          </w:p>
        </w:tc>
        <w:tc>
          <w:tcPr>
            <w:tcW w:w="79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线性代数B</w:t>
            </w:r>
            <w:r>
              <w:br/>
            </w:r>
            <w:r>
              <w:rPr>
                <w:rFonts w:ascii="SimSun" w:hAnsi="SimSun"/>
                <w:b w:val="false"/>
                <w:i w:val="false"/>
                <w:color w:val="000000"/>
                <w:sz w:val="21"/>
              </w:rPr>
              <w:t>Linear Algebra B</w:t>
            </w:r>
          </w:p>
        </w:tc>
        <w:tc>
          <w:tcPr>
            <w:tcW w:w="79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MATH10032</w:t>
            </w:r>
          </w:p>
        </w:tc>
        <w:tc>
          <w:tcPr>
            <w:tcW w:w="79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7"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微积分AⅡ</w:t>
            </w:r>
            <w:r>
              <w:br/>
            </w:r>
            <w:r>
              <w:rPr>
                <w:rFonts w:ascii="SimSun" w:hAnsi="SimSun"/>
                <w:b w:val="false"/>
                <w:i w:val="false"/>
                <w:color w:val="000000"/>
                <w:sz w:val="21"/>
              </w:rPr>
              <w:t>Calculus A Ⅱ</w:t>
            </w:r>
          </w:p>
        </w:tc>
        <w:tc>
          <w:tcPr>
            <w:tcW w:w="79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108.0</w:t>
            </w:r>
          </w:p>
        </w:tc>
        <w:tc>
          <w:tcPr>
            <w:tcW w:w="111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1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MATH10027</w:t>
            </w:r>
          </w:p>
        </w:tc>
        <w:tc>
          <w:tcPr>
            <w:tcW w:w="79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0.4</w:t>
            </w:r>
          </w:p>
        </w:tc>
        <w:tc>
          <w:tcPr>
            <w:tcW w:w="797"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1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专业核心教育课程（86学分）
      </w:t>
      </w:r>
    </w:p>
    <w:p>
      <w:pPr>
        <w:spacing w:after="0"/>
        <w:ind w:left="0"/>
        <w:jc w:val="left"/>
      </w:pPr>
      <w:r>
        <w:rPr>
          <w:rFonts w:ascii="SimSun" w:hAnsi="SimSun"/>
          <w:b w:val="false"/>
          <w:i w:val="false"/>
          <w:color w:val="000000"/>
          <w:sz w:val="21"/>
        </w:rPr>
        <w:t xml:space="preserve">
       要求修读86学分（部分课程学分可用荣誉课程学分替换）。
      </w:t>
      </w:r>
    </w:p>
    <w:p>
      <w:pPr>
        <w:spacing w:after="0"/>
        <w:ind w:left="0"/>
        <w:jc w:val="left"/>
      </w:pPr>
      <w:r>
        <w:rPr>
          <w:rFonts w:ascii="SimSun" w:hAnsi="SimSun"/>
          <w:b/>
          <w:i w:val="false"/>
          <w:color w:val="000000"/>
          <w:sz w:val="21"/>
        </w:rPr>
        <w:t xml:space="preserve">
       (1) A组（48学分）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初级西班牙语读写（上）</w:t>
            </w:r>
            <w:r>
              <w:br/>
            </w:r>
            <w:r>
              <w:rPr>
                <w:rFonts w:ascii="SimSun" w:hAnsi="SimSun"/>
                <w:b w:val="false"/>
                <w:i w:val="false"/>
                <w:color w:val="000000"/>
                <w:sz w:val="21"/>
              </w:rPr>
              <w:t>Basic Spanish Reading and Writing 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FORE10001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初级西班牙语语音（上）</w:t>
            </w:r>
            <w:r>
              <w:br/>
            </w:r>
            <w:r>
              <w:rPr>
                <w:rFonts w:ascii="SimSun" w:hAnsi="SimSun"/>
                <w:b w:val="false"/>
                <w:i w:val="false"/>
                <w:color w:val="000000"/>
                <w:sz w:val="21"/>
              </w:rPr>
              <w:t>Primary Spanish Pronunciation 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FORE10030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初级西班牙语读写（下）</w:t>
            </w:r>
            <w:r>
              <w:br/>
            </w:r>
            <w:r>
              <w:rPr>
                <w:rFonts w:ascii="SimSun" w:hAnsi="SimSun"/>
                <w:b w:val="false"/>
                <w:i w:val="false"/>
                <w:color w:val="000000"/>
                <w:sz w:val="21"/>
              </w:rPr>
              <w:t>Basic Spanish Reading and Writing Ⅱ</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FORE10002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初级西班牙语语音（下）</w:t>
            </w:r>
            <w:r>
              <w:br/>
            </w:r>
            <w:r>
              <w:rPr>
                <w:rFonts w:ascii="SimSun" w:hAnsi="SimSun"/>
                <w:b w:val="false"/>
                <w:i w:val="false"/>
                <w:color w:val="000000"/>
                <w:sz w:val="21"/>
              </w:rPr>
              <w:t>Primary Spanish Pronunciation Ⅱ</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FORE10031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西班牙语视听说Ⅰ</w:t>
            </w:r>
            <w:r>
              <w:br/>
            </w:r>
            <w:r>
              <w:rPr>
                <w:rFonts w:ascii="SimSun" w:hAnsi="SimSun"/>
                <w:b w:val="false"/>
                <w:i w:val="false"/>
                <w:color w:val="000000"/>
                <w:sz w:val="21"/>
              </w:rPr>
              <w:t>Spanish Focus Listening（I）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FORE20047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中级西班牙语-实践与应用（上）</w:t>
            </w:r>
            <w:r>
              <w:br/>
            </w:r>
            <w:r>
              <w:rPr>
                <w:rFonts w:ascii="SimSun" w:hAnsi="SimSun"/>
                <w:b w:val="false"/>
                <w:i w:val="false"/>
                <w:color w:val="000000"/>
                <w:sz w:val="21"/>
              </w:rPr>
              <w:t>Intermediate Spanish (Practice and Use)Ⅰ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FORE20059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中级西班牙语-语法与词汇（上）</w:t>
            </w:r>
            <w:r>
              <w:br/>
            </w:r>
            <w:r>
              <w:rPr>
                <w:rFonts w:ascii="SimSun" w:hAnsi="SimSun"/>
                <w:b w:val="false"/>
                <w:i w:val="false"/>
                <w:color w:val="000000"/>
                <w:sz w:val="21"/>
              </w:rPr>
              <w:t>Intermediate Spanish (Grammar and Vocabulary)Ⅰ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FORE20061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西班牙语视听说Ⅱ</w:t>
            </w:r>
            <w:r>
              <w:br/>
            </w:r>
            <w:r>
              <w:rPr>
                <w:rFonts w:ascii="SimSun" w:hAnsi="SimSun"/>
                <w:b w:val="false"/>
                <w:i w:val="false"/>
                <w:color w:val="000000"/>
                <w:sz w:val="21"/>
              </w:rPr>
              <w:t>Spanish Focus Listening（II）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FORE20048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西班牙语阅读</w:t>
            </w:r>
            <w:r>
              <w:br/>
            </w:r>
            <w:r>
              <w:rPr>
                <w:rFonts w:ascii="SimSun" w:hAnsi="SimSun"/>
                <w:b w:val="false"/>
                <w:i w:val="false"/>
                <w:color w:val="000000"/>
                <w:sz w:val="21"/>
              </w:rPr>
              <w:t>Spanish Extensive Reading</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FORE30045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中级西班牙语-实践与应用（下）</w:t>
            </w:r>
            <w:r>
              <w:br/>
            </w:r>
            <w:r>
              <w:rPr>
                <w:rFonts w:ascii="SimSun" w:hAnsi="SimSun"/>
                <w:b w:val="false"/>
                <w:i w:val="false"/>
                <w:color w:val="000000"/>
                <w:sz w:val="21"/>
              </w:rPr>
              <w:t>Intermediate Spanish (Practice and Use) Ⅱ</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FORE20060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中级西班牙语-语法与词汇（下）</w:t>
            </w:r>
            <w:r>
              <w:br/>
            </w:r>
            <w:r>
              <w:rPr>
                <w:rFonts w:ascii="SimSun" w:hAnsi="SimSun"/>
                <w:b w:val="false"/>
                <w:i w:val="false"/>
                <w:color w:val="000000"/>
                <w:sz w:val="21"/>
              </w:rPr>
              <w:t>Intermediate Spanish (Grammar and Vocabulary) Ⅱ</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FORE20062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高级西班牙语（上）</w:t>
            </w:r>
            <w:r>
              <w:br/>
            </w:r>
            <w:r>
              <w:rPr>
                <w:rFonts w:ascii="SimSun" w:hAnsi="SimSun"/>
                <w:b w:val="false"/>
                <w:i w:val="false"/>
                <w:color w:val="000000"/>
                <w:sz w:val="21"/>
              </w:rPr>
              <w:t>Spanish （advanced level 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FORE30043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高级西班牙语（下）</w:t>
            </w:r>
            <w:r>
              <w:br/>
            </w:r>
            <w:r>
              <w:rPr>
                <w:rFonts w:ascii="SimSun" w:hAnsi="SimSun"/>
                <w:b w:val="false"/>
                <w:i w:val="false"/>
                <w:color w:val="000000"/>
                <w:sz w:val="21"/>
              </w:rPr>
              <w:t>Spanish (advanced level Ⅱ）</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FORE30044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西班牙语学术论文写作</w:t>
            </w:r>
            <w:r>
              <w:br/>
            </w:r>
            <w:r>
              <w:rPr>
                <w:rFonts w:ascii="SimSun" w:hAnsi="SimSun"/>
                <w:b w:val="false"/>
                <w:i w:val="false"/>
                <w:color w:val="000000"/>
                <w:sz w:val="21"/>
              </w:rPr>
              <w:t>Academic Writing in Spanish</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FORE50096</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B组（38学分）
      </w:t>
      </w:r>
    </w:p>
    <w:tbl>
      <w:tblPr>
        <w:tblW w:w="0" w:type="auto"/>
        <w:tblCellSpacing w:w="0" w:type="auto"/>
        <w:tblBorders>
          <w:top w:val="none"/>
          <w:left w:val="none"/>
          <w:bottom w:val="none"/>
          <w:right w:val="none"/>
          <w:insideH w:val="none"/>
          <w:insideV w:val="none"/>
        </w:tblBorders>
      </w:tblPr>
      <w:tblGrid>
        <w:gridCol w:w="3246"/>
        <w:gridCol w:w="811"/>
        <w:gridCol w:w="811"/>
        <w:gridCol w:w="1136"/>
        <w:gridCol w:w="1623"/>
        <w:gridCol w:w="811"/>
        <w:gridCol w:w="811"/>
        <w:gridCol w:w="811"/>
        <w:gridCol w:w="811"/>
        <w:gridCol w:w="1137"/>
        <w:gridCol w:w="1626"/>
      </w:tblGrid>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数字逻辑与部件设计</w:t>
            </w:r>
            <w:r>
              <w:br/>
            </w:r>
            <w:r>
              <w:rPr>
                <w:rFonts w:ascii="SimSun" w:hAnsi="SimSun"/>
                <w:b w:val="false"/>
                <w:i w:val="false"/>
                <w:color w:val="000000"/>
                <w:sz w:val="21"/>
              </w:rPr>
              <w:t>Digital Logic and Component Design</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CS20008</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数据结构</w:t>
            </w:r>
            <w:r>
              <w:br/>
            </w:r>
            <w:r>
              <w:rPr>
                <w:rFonts w:ascii="SimSun" w:hAnsi="SimSun"/>
                <w:b w:val="false"/>
                <w:i w:val="false"/>
                <w:color w:val="000000"/>
                <w:sz w:val="21"/>
              </w:rPr>
              <w:t>Data Structure</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CS20009</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集合与图论</w:t>
            </w:r>
            <w:r>
              <w:br/>
            </w:r>
            <w:r>
              <w:rPr>
                <w:rFonts w:ascii="SimSun" w:hAnsi="SimSun"/>
                <w:b w:val="false"/>
                <w:i w:val="false"/>
                <w:color w:val="000000"/>
                <w:sz w:val="21"/>
              </w:rPr>
              <w:t>Set Theory and Graph Theory</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CS30043</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计算机系统基础</w:t>
            </w:r>
            <w:r>
              <w:br/>
            </w:r>
            <w:r>
              <w:rPr>
                <w:rFonts w:ascii="SimSun" w:hAnsi="SimSun"/>
                <w:b w:val="false"/>
                <w:i w:val="false"/>
                <w:color w:val="000000"/>
                <w:sz w:val="21"/>
              </w:rPr>
              <w:t>Principles of Computer System</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CS10005</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计算机组成与体系结构</w:t>
            </w:r>
            <w:r>
              <w:br/>
            </w:r>
            <w:r>
              <w:rPr>
                <w:rFonts w:ascii="SimSun" w:hAnsi="SimSun"/>
                <w:b w:val="false"/>
                <w:i w:val="false"/>
                <w:color w:val="000000"/>
                <w:sz w:val="21"/>
              </w:rPr>
              <w:t>Computer Organization and Architecture</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CS30052</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算法设计与分析</w:t>
            </w:r>
            <w:r>
              <w:br/>
            </w:r>
            <w:r>
              <w:rPr>
                <w:rFonts w:ascii="SimSun" w:hAnsi="SimSun"/>
                <w:b w:val="false"/>
                <w:i w:val="false"/>
                <w:color w:val="000000"/>
                <w:sz w:val="21"/>
              </w:rPr>
              <w:t>Algorithm Design and Analysis</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CS30016</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全英语授课 </w:t>
            </w: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数据库系统</w:t>
            </w:r>
            <w:r>
              <w:br/>
            </w:r>
            <w:r>
              <w:rPr>
                <w:rFonts w:ascii="SimSun" w:hAnsi="SimSun"/>
                <w:b w:val="false"/>
                <w:i w:val="false"/>
                <w:color w:val="000000"/>
                <w:sz w:val="21"/>
              </w:rPr>
              <w:t>Database Systems</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CS20001</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tc>
        <w:tc>
          <w:tcPr>
            <w:tcW w:w="811" w:type="dxa"/>
            <w:tcBorders>
              <w:top w:val="single" w:color="000000" w:sz="8"/>
              <w:left w:val="single" w:color="000000" w:sz="8"/>
            </w:tcBorders>
            <w:tcMar>
              <w:top w:w="15" w:type="dxa"/>
              <w:left w:w="15" w:type="dxa"/>
              <w:bottom w:w="15" w:type="dxa"/>
              <w:right w:w="15" w:type="dxa"/>
            </w:tcMar>
            <w:vAlign w:val="center"/>
          </w:tcP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操作系统</w:t>
            </w:r>
            <w:r>
              <w:br/>
            </w:r>
            <w:r>
              <w:rPr>
                <w:rFonts w:ascii="SimSun" w:hAnsi="SimSun"/>
                <w:b w:val="false"/>
                <w:i w:val="false"/>
                <w:color w:val="000000"/>
                <w:sz w:val="21"/>
              </w:rPr>
              <w:t>Operating Systems</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CS30031</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计算机网络</w:t>
            </w:r>
            <w:r>
              <w:br/>
            </w:r>
            <w:r>
              <w:rPr>
                <w:rFonts w:ascii="SimSun" w:hAnsi="SimSun"/>
                <w:b w:val="false"/>
                <w:i w:val="false"/>
                <w:color w:val="000000"/>
                <w:sz w:val="21"/>
              </w:rPr>
              <w:t>Computer Networks</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CS30036</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模式识别与机器学习</w:t>
            </w:r>
            <w:r>
              <w:br/>
            </w:r>
            <w:r>
              <w:rPr>
                <w:rFonts w:ascii="SimSun" w:hAnsi="SimSun"/>
                <w:b w:val="false"/>
                <w:i w:val="false"/>
                <w:color w:val="000000"/>
                <w:sz w:val="21"/>
              </w:rPr>
              <w:t>Pattern Recognition &amp; Machine Learning</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CS30037</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软件工程</w:t>
            </w:r>
            <w:r>
              <w:br/>
            </w:r>
            <w:r>
              <w:rPr>
                <w:rFonts w:ascii="SimSun" w:hAnsi="SimSun"/>
                <w:b w:val="false"/>
                <w:i w:val="false"/>
                <w:color w:val="000000"/>
                <w:sz w:val="21"/>
              </w:rPr>
              <w:t>Software Engineering</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CS30018</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编译</w:t>
            </w:r>
            <w:r>
              <w:br/>
            </w:r>
            <w:r>
              <w:rPr>
                <w:rFonts w:ascii="SimSun" w:hAnsi="SimSun"/>
                <w:b w:val="false"/>
                <w:i w:val="false"/>
                <w:color w:val="000000"/>
                <w:sz w:val="21"/>
              </w:rPr>
              <w:t>Compilers</w:t>
            </w:r>
          </w:p>
        </w:tc>
        <w:tc>
          <w:tcPr>
            <w:tcW w:w="8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90.0</w:t>
            </w:r>
          </w:p>
        </w:tc>
        <w:tc>
          <w:tcPr>
            <w:tcW w:w="113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CS30017</w:t>
            </w:r>
          </w:p>
        </w:tc>
        <w:tc>
          <w:tcPr>
            <w:tcW w:w="8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(三) 多元发展课程
      </w:t>
      </w:r>
    </w:p>
    <w:p>
      <w:pPr>
        <w:spacing w:after="0"/>
        <w:ind w:left="0"/>
        <w:jc w:val="left"/>
      </w:pPr>
      <w:r>
        <w:rPr>
          <w:rFonts w:ascii="SimSun" w:hAnsi="SimSun"/>
          <w:b/>
          <w:i w:val="false"/>
          <w:color w:val="000000"/>
          <w:sz w:val="21"/>
        </w:rPr>
        <w:t xml:space="preserve">
       (1) 专业进阶课程（18学分）
      </w:t>
      </w:r>
    </w:p>
    <w:p>
      <w:pPr>
        <w:spacing w:after="0"/>
        <w:ind w:left="0"/>
        <w:jc w:val="left"/>
      </w:pPr>
      <w:r>
        <w:rPr>
          <w:rFonts w:ascii="SimSun" w:hAnsi="SimSun"/>
          <w:b w:val="false"/>
          <w:i w:val="false"/>
          <w:color w:val="000000"/>
          <w:sz w:val="21"/>
        </w:rPr>
        <w:t xml:space="preserve">
       修满18学分。其中A组课程为第一学位课程，修读8学分。B组为第二学位课程，修读10学分。专业进阶课程设置如下：
      </w:t>
      </w:r>
    </w:p>
    <w:p>
      <w:pPr>
        <w:spacing w:after="0"/>
        <w:ind w:left="0"/>
        <w:jc w:val="left"/>
      </w:pPr>
      <w:r>
        <w:rPr>
          <w:rFonts w:ascii="SimSun" w:hAnsi="SimSun"/>
          <w:b/>
          <w:i w:val="false"/>
          <w:color w:val="000000"/>
          <w:sz w:val="21"/>
        </w:rPr>
        <w:t xml:space="preserve">
       a) A组（8学分）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西班牙历史与文化</w:t>
            </w:r>
            <w:r>
              <w:br/>
            </w:r>
            <w:r>
              <w:rPr>
                <w:rFonts w:ascii="SimSun" w:hAnsi="SimSun"/>
                <w:b w:val="false"/>
                <w:i w:val="false"/>
                <w:color w:val="000000"/>
                <w:sz w:val="21"/>
              </w:rPr>
              <w:t>History and Culture of Spain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FORE30047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拉丁美洲历史文化与艺术</w:t>
            </w:r>
            <w:r>
              <w:br/>
            </w:r>
            <w:r>
              <w:rPr>
                <w:rFonts w:ascii="SimSun" w:hAnsi="SimSun"/>
                <w:b w:val="false"/>
                <w:i w:val="false"/>
                <w:color w:val="000000"/>
                <w:sz w:val="21"/>
              </w:rPr>
              <w:t>History, Culture and Arts of Latin America</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FORE30048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西班牙语语法</w:t>
            </w:r>
            <w:r>
              <w:br/>
            </w:r>
            <w:r>
              <w:rPr>
                <w:rFonts w:ascii="SimSun" w:hAnsi="SimSun"/>
                <w:b w:val="false"/>
                <w:i w:val="false"/>
                <w:color w:val="000000"/>
                <w:sz w:val="21"/>
              </w:rPr>
              <w:t>Spanish Grammar</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FORE30049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西班牙语写作（上）</w:t>
            </w:r>
            <w:r>
              <w:br/>
            </w:r>
            <w:r>
              <w:rPr>
                <w:rFonts w:ascii="SimSun" w:hAnsi="SimSun"/>
                <w:b w:val="false"/>
                <w:i w:val="false"/>
                <w:color w:val="000000"/>
                <w:sz w:val="21"/>
              </w:rPr>
              <w:t>Spanish Writing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FORE30046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中西跨文化交际</w:t>
            </w:r>
            <w:r>
              <w:br/>
            </w:r>
            <w:r>
              <w:rPr>
                <w:rFonts w:ascii="SimSun" w:hAnsi="SimSun"/>
                <w:b w:val="false"/>
                <w:i w:val="false"/>
                <w:color w:val="000000"/>
                <w:sz w:val="21"/>
              </w:rPr>
              <w:t>Transcultural Communication between China and Spain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中西视角下的文化研究</w:t>
            </w:r>
            <w:r>
              <w:br/>
            </w:r>
            <w:r>
              <w:rPr>
                <w:rFonts w:ascii="SimSun" w:hAnsi="SimSun"/>
                <w:b w:val="false"/>
                <w:i w:val="false"/>
                <w:color w:val="000000"/>
                <w:sz w:val="21"/>
              </w:rPr>
              <w:t>Cultural Studies: A Sino-Hispanic Perspective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FORE60062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20世纪拉美小说导读与翻译实践</w:t>
            </w:r>
            <w:r>
              <w:br/>
            </w:r>
            <w:r>
              <w:rPr>
                <w:rFonts w:ascii="SimSun" w:hAnsi="SimSun"/>
                <w:b w:val="false"/>
                <w:i w:val="false"/>
                <w:color w:val="000000"/>
                <w:sz w:val="21"/>
              </w:rPr>
              <w:t>20th-Century Latin American Fiction: Introduction &amp; Translation Practice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TS60006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西班牙语语言学导论</w:t>
            </w:r>
            <w:r>
              <w:br/>
            </w:r>
            <w:r>
              <w:rPr>
                <w:rFonts w:ascii="SimSun" w:hAnsi="SimSun"/>
                <w:b w:val="false"/>
                <w:i w:val="false"/>
                <w:color w:val="000000"/>
                <w:sz w:val="21"/>
              </w:rPr>
              <w:t>An Introduction to Spanish Linguistics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FORE40043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西班牙语写作（下）</w:t>
            </w:r>
            <w:r>
              <w:br/>
            </w:r>
            <w:r>
              <w:rPr>
                <w:rFonts w:ascii="SimSun" w:hAnsi="SimSun"/>
                <w:b w:val="false"/>
                <w:i w:val="false"/>
                <w:color w:val="000000"/>
                <w:sz w:val="21"/>
              </w:rPr>
              <w:t>Spanish Writing II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FORE40042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西班牙思想史</w:t>
            </w:r>
            <w:r>
              <w:br/>
            </w:r>
            <w:r>
              <w:rPr>
                <w:rFonts w:ascii="SimSun" w:hAnsi="SimSun"/>
                <w:b w:val="false"/>
                <w:i w:val="false"/>
                <w:color w:val="000000"/>
                <w:sz w:val="21"/>
              </w:rPr>
              <w:t>History of Spanish Thought</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FORE50101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6,8</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西班牙语报刊选读</w:t>
            </w:r>
            <w:r>
              <w:br/>
            </w:r>
            <w:r>
              <w:rPr>
                <w:rFonts w:ascii="SimSun" w:hAnsi="SimSun"/>
                <w:b w:val="false"/>
                <w:i w:val="false"/>
                <w:color w:val="000000"/>
                <w:sz w:val="21"/>
              </w:rPr>
              <w:t>Selected Readings from Spanish Newspapers and Magazines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FORE40044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6,8</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西班牙语口译</w:t>
            </w:r>
            <w:r>
              <w:br/>
            </w:r>
            <w:r>
              <w:rPr>
                <w:rFonts w:ascii="SimSun" w:hAnsi="SimSun"/>
                <w:b w:val="false"/>
                <w:i w:val="false"/>
                <w:color w:val="000000"/>
                <w:sz w:val="21"/>
              </w:rPr>
              <w:t>Spanish Interpretation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FORE50098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6,8</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当代西班牙语小说研究（2）</w:t>
            </w:r>
            <w:r>
              <w:br/>
            </w:r>
            <w:r>
              <w:rPr>
                <w:rFonts w:ascii="SimSun" w:hAnsi="SimSun"/>
                <w:b w:val="false"/>
                <w:i w:val="false"/>
                <w:color w:val="000000"/>
                <w:sz w:val="21"/>
              </w:rPr>
              <w:t>Contemporary Spanish Fiction Studies II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FORE70010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6,8</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经贸西班牙语</w:t>
            </w:r>
            <w:r>
              <w:br/>
            </w:r>
            <w:r>
              <w:rPr>
                <w:rFonts w:ascii="SimSun" w:hAnsi="SimSun"/>
                <w:b w:val="false"/>
                <w:i w:val="false"/>
                <w:color w:val="000000"/>
                <w:sz w:val="21"/>
              </w:rPr>
              <w:t>Economical and Commercial Spanish</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FORE50097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学术前沿专题</w:t>
            </w:r>
            <w:r>
              <w:br/>
            </w:r>
            <w:r>
              <w:rPr>
                <w:rFonts w:ascii="SimSun" w:hAnsi="SimSun"/>
                <w:b w:val="false"/>
                <w:i w:val="false"/>
                <w:color w:val="000000"/>
                <w:sz w:val="21"/>
              </w:rPr>
              <w:t>Frontier Topics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FORE50043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西班牙语翻译理论与实践</w:t>
            </w:r>
            <w:r>
              <w:br/>
            </w:r>
            <w:r>
              <w:rPr>
                <w:rFonts w:ascii="SimSun" w:hAnsi="SimSun"/>
                <w:b w:val="false"/>
                <w:i w:val="false"/>
                <w:color w:val="000000"/>
                <w:sz w:val="21"/>
              </w:rPr>
              <w:t>Translation in Spanish: Theory and Practice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FORE50095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自然语言处理与语言习得</w:t>
            </w:r>
            <w:r>
              <w:br/>
            </w:r>
            <w:r>
              <w:rPr>
                <w:rFonts w:ascii="SimSun" w:hAnsi="SimSun"/>
                <w:b w:val="false"/>
                <w:i w:val="false"/>
                <w:color w:val="000000"/>
                <w:sz w:val="21"/>
              </w:rPr>
              <w:t>Natural Language Processing and Language Acquisition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FORE20066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面向语言信息处理的语言逻辑理论</w:t>
            </w:r>
            <w:r>
              <w:br/>
            </w:r>
            <w:r>
              <w:rPr>
                <w:rFonts w:ascii="SimSun" w:hAnsi="SimSun"/>
                <w:b w:val="false"/>
                <w:i w:val="false"/>
                <w:color w:val="000000"/>
                <w:sz w:val="21"/>
              </w:rPr>
              <w:t>Natural Language Logic and Natural Language Processing</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FORE20067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面向语言信息处理的句法理论</w:t>
            </w:r>
            <w:r>
              <w:br/>
            </w:r>
            <w:r>
              <w:rPr>
                <w:rFonts w:ascii="SimSun" w:hAnsi="SimSun"/>
                <w:b w:val="false"/>
                <w:i w:val="false"/>
                <w:color w:val="000000"/>
                <w:sz w:val="21"/>
              </w:rPr>
              <w:t>Natural Language Syntax and Natural Language Processing</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FORE30058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数字人文导论</w:t>
            </w:r>
            <w:r>
              <w:br/>
            </w:r>
            <w:r>
              <w:rPr>
                <w:rFonts w:ascii="SimSun" w:hAnsi="SimSun"/>
                <w:b w:val="false"/>
                <w:i w:val="false"/>
                <w:color w:val="000000"/>
                <w:sz w:val="21"/>
              </w:rPr>
              <w:t>Digital Humanities: An Introduction</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FORE50125</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b) B组（10学分）
      </w:t>
      </w:r>
    </w:p>
    <w:tbl>
      <w:tblPr>
        <w:tblW w:w="0" w:type="auto"/>
        <w:tblCellSpacing w:w="0" w:type="auto"/>
        <w:tblBorders>
          <w:top w:val="none"/>
          <w:left w:val="none"/>
          <w:bottom w:val="none"/>
          <w:right w:val="none"/>
          <w:insideH w:val="none"/>
          <w:insideV w:val="none"/>
        </w:tblBorders>
      </w:tblPr>
      <w:tblGrid>
        <w:gridCol w:w="3194"/>
        <w:gridCol w:w="798"/>
        <w:gridCol w:w="798"/>
        <w:gridCol w:w="1117"/>
        <w:gridCol w:w="1819"/>
        <w:gridCol w:w="798"/>
        <w:gridCol w:w="798"/>
        <w:gridCol w:w="798"/>
        <w:gridCol w:w="798"/>
        <w:gridCol w:w="1118"/>
        <w:gridCol w:w="1598"/>
      </w:tblGrid>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概率论与数理统计A</w:t>
            </w:r>
            <w:r>
              <w:br/>
            </w:r>
            <w:r>
              <w:rPr>
                <w:rFonts w:ascii="SimSun" w:hAnsi="SimSun"/>
                <w:b w:val="false"/>
                <w:i w:val="false"/>
                <w:color w:val="000000"/>
                <w:sz w:val="21"/>
              </w:rPr>
              <w:t>Probability and Mathematical Statistics A</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MATH10033</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代数结构与数理逻辑</w:t>
            </w:r>
            <w:r>
              <w:br/>
            </w:r>
            <w:r>
              <w:rPr>
                <w:rFonts w:ascii="SimSun" w:hAnsi="SimSun"/>
                <w:b w:val="false"/>
                <w:i w:val="false"/>
                <w:color w:val="000000"/>
                <w:sz w:val="21"/>
              </w:rPr>
              <w:t>Algebra Structure and Mathematical Logic</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CS30015</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计算理论基础</w:t>
            </w:r>
            <w:r>
              <w:br/>
            </w:r>
            <w:r>
              <w:rPr>
                <w:rFonts w:ascii="SimSun" w:hAnsi="SimSun"/>
                <w:b w:val="false"/>
                <w:i w:val="false"/>
                <w:color w:val="000000"/>
                <w:sz w:val="21"/>
              </w:rPr>
              <w:t>Fundamentals of Computation Theory</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CS30021</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自然语言处理与大语言模型</w:t>
            </w:r>
            <w:r>
              <w:br/>
            </w:r>
            <w:r>
              <w:rPr>
                <w:rFonts w:ascii="SimSun" w:hAnsi="SimSun"/>
                <w:b w:val="false"/>
                <w:i w:val="false"/>
                <w:color w:val="000000"/>
                <w:sz w:val="21"/>
              </w:rPr>
              <w:t>Natural Language Processing and Large Language Models</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AIE410002</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计算机视觉</w:t>
            </w:r>
            <w:r>
              <w:br/>
            </w:r>
            <w:r>
              <w:rPr>
                <w:rFonts w:ascii="SimSun" w:hAnsi="SimSun"/>
                <w:b w:val="false"/>
                <w:i w:val="false"/>
                <w:color w:val="000000"/>
                <w:sz w:val="21"/>
              </w:rPr>
              <w:t>Computer Vision</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CS30034</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云计算与虚拟化技术</w:t>
            </w:r>
            <w:r>
              <w:br/>
            </w:r>
            <w:r>
              <w:rPr>
                <w:rFonts w:ascii="SimSun" w:hAnsi="SimSun"/>
                <w:b w:val="false"/>
                <w:i w:val="false"/>
                <w:color w:val="000000"/>
                <w:sz w:val="21"/>
              </w:rPr>
              <w:t>Cloud Computing and Virtualization Technology</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CS30055</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计算机图形学</w:t>
            </w:r>
            <w:r>
              <w:br/>
            </w:r>
            <w:r>
              <w:rPr>
                <w:rFonts w:ascii="SimSun" w:hAnsi="SimSun"/>
                <w:b w:val="false"/>
                <w:i w:val="false"/>
                <w:color w:val="000000"/>
                <w:sz w:val="21"/>
              </w:rPr>
              <w:t>Computer Graphics</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CS30006</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分布式系统</w:t>
            </w:r>
            <w:r>
              <w:br/>
            </w:r>
            <w:r>
              <w:rPr>
                <w:rFonts w:ascii="SimSun" w:hAnsi="SimSun"/>
                <w:b w:val="false"/>
                <w:i w:val="false"/>
                <w:color w:val="000000"/>
                <w:sz w:val="21"/>
              </w:rPr>
              <w:t>Distributed Systems</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CS30033</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机器学习系统</w:t>
            </w:r>
            <w:r>
              <w:br/>
            </w:r>
            <w:r>
              <w:rPr>
                <w:rFonts w:ascii="SimSun" w:hAnsi="SimSun"/>
                <w:b w:val="false"/>
                <w:i w:val="false"/>
                <w:color w:val="000000"/>
                <w:sz w:val="21"/>
              </w:rPr>
              <w:t>Machine Learning Systems</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CS30058</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1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其他
      </w:t>
      </w:r>
    </w:p>
    <w:p>
      <w:pPr>
        <w:spacing w:after="0"/>
        <w:ind w:left="0"/>
        <w:jc w:val="left"/>
      </w:pPr>
      <w:r>
        <w:rPr>
          <w:rFonts w:ascii="SimSun" w:hAnsi="SimSun"/>
          <w:b/>
          <w:i w:val="false"/>
          <w:color w:val="000000"/>
          <w:sz w:val="21"/>
        </w:rPr>
        <w:t xml:space="preserve">
       (四) 融合创新能力（6学分）
      </w:t>
      </w:r>
    </w:p>
    <w:p>
      <w:pPr>
        <w:spacing w:after="0"/>
        <w:ind w:left="0"/>
        <w:jc w:val="left"/>
      </w:pPr>
      <w:r>
        <w:rPr>
          <w:rFonts w:ascii="SimSun" w:hAnsi="SimSun"/>
          <w:b w:val="false"/>
          <w:i w:val="false"/>
          <w:color w:val="000000"/>
          <w:sz w:val="21"/>
        </w:rPr>
        <w:t xml:space="preserve">
       鼓励并帮助学生在完成西班牙语基本功训练和文学基本素养培育的同时，积极申请复芏计划（FDUROP）项目（䇹政、望道、登辉和曦源），激发创新志趣。多渠道支持学生参加国内国际高水平学术交流，鼓励学生参加国内国际高水平创新竞赛（“外教社杯”全国高校西班牙语演讲比赛、“外研社·国才杯”“理解当代中国”全国大学生外语能力大赛西班牙语组、全国高校西班牙语专业本科生学术创新大赛、全国高校西班牙语专业辩论赛等）。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无学分讨论班</w:t>
            </w:r>
            <w:r>
              <w:br/>
            </w:r>
            <w:r>
              <w:rPr>
                <w:rFonts w:ascii="SimSun" w:hAnsi="SimSun"/>
                <w:b w:val="false"/>
                <w:i w:val="false"/>
                <w:color w:val="000000"/>
                <w:sz w:val="21"/>
              </w:rPr>
              <w:t>Non-Credit Seminar</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鼓励学生进入系内教师课题组流转。</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复芏计划(FDUROP)</w:t>
            </w:r>
            <w:r>
              <w:br/>
            </w:r>
            <w:r>
              <w:rPr>
                <w:rFonts w:ascii="SimSun" w:hAnsi="SimSun"/>
                <w:b w:val="false"/>
                <w:i w:val="false"/>
                <w:color w:val="000000"/>
                <w:sz w:val="21"/>
              </w:rPr>
              <w:t>FDUROP</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详见复旦大学本科生学术研究资助计划管理办法。</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实习调查</w:t>
            </w:r>
            <w:r>
              <w:br/>
            </w:r>
            <w:r>
              <w:rPr>
                <w:rFonts w:ascii="SimSun" w:hAnsi="SimSun"/>
                <w:b w:val="false"/>
                <w:i w:val="false"/>
                <w:color w:val="000000"/>
                <w:sz w:val="21"/>
              </w:rPr>
              <w:t>Practice and Survey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FORE30001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18.0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毕业论文</w:t>
            </w:r>
            <w:r>
              <w:br/>
            </w:r>
            <w:r>
              <w:rPr>
                <w:rFonts w:ascii="SimSun" w:hAnsi="SimSun"/>
                <w:b w:val="false"/>
                <w:i w:val="false"/>
                <w:color w:val="000000"/>
                <w:sz w:val="21"/>
              </w:rPr>
              <w:t>Graduation Thesis</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FORE40080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sectPr>
      <w:pgSz w:w="11907" w:h="16839" w:code="9"/>
      <w:pgMar w:top="1440" w:right="1440" w:bottom="1440" w:left="1440"/>
    </w:sectPr>
  </w:body>
</w:document>
</file>

<file path=word/numbering.xml><?xml version="1.0" encoding="utf-8"?>
<w:numbering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file>

<file path=word/settings.xml><?xml version="1.0" encoding="utf-8"?>
<w:setting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mc:Ignorable="">
  <w:compat>
    <w:compatSetting w:name="overrideTableStyleFontSizeAndJustification" w:uri="http://schemas.microsoft.com/office/word" w:val="1"/>
  </w:compat>
</w:settings>
</file>

<file path=word/styles.xml><?xml version="1.0" encoding="utf-8"?>
<w:style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edia/document_image_rId4.png" Type="http://schemas.openxmlformats.org/officeDocument/2006/relationships/image" Id="rId4"/>
   <Relationship Target="media/document_image_rId5.jpeg" Type="http://schemas.openxmlformats.org/officeDocument/2006/relationships/image" Id="rId5"/>
   <Relationship Target="media/document_image_rId6.png" Type="http://schemas.openxmlformats.org/officeDocument/2006/relationships/image" Id="rId6"/>
   <Relationship Target="media/document_image_rId7.png" Type="http://schemas.openxmlformats.org/officeDocument/2006/relationships/image" Id="rId7"/>
   <Relationship Target="media/document_image_rId8.jpeg" Type="http://schemas.openxmlformats.org/officeDocument/2006/relationships/image" Id="rId8"/>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dcterms="http://purl.org/dc/terms/" xmlns:cp="http://schemas.openxmlformats.org/package/2006/metadata/core-properties" xmlns:dc="http://purl.org/dc/elements/1.1/"/>
</file>