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17A" w:rsidRPr="00E6217A" w:rsidRDefault="00E6217A">
      <w:pPr>
        <w:rPr>
          <w:rFonts w:ascii="宋体" w:eastAsia="宋体" w:hAnsi="宋体" w:hint="eastAsia"/>
          <w:sz w:val="16"/>
          <w:szCs w:val="16"/>
          <w:shd w:val="clear" w:color="auto" w:fill="FFFFFF"/>
        </w:rPr>
      </w:pPr>
      <w:r w:rsidRPr="00E6217A">
        <w:fldChar w:fldCharType="begin"/>
      </w:r>
      <w:r w:rsidRPr="00E6217A">
        <w:instrText xml:space="preserve"> HYPERLINK "http://blog.csdn.net/ustc_dylan/article/details/7326900" </w:instrText>
      </w:r>
      <w:r w:rsidRPr="00E6217A">
        <w:fldChar w:fldCharType="separate"/>
      </w:r>
      <w:proofErr w:type="spellStart"/>
      <w:proofErr w:type="gramStart"/>
      <w:r w:rsidRPr="00E6217A">
        <w:rPr>
          <w:rStyle w:val="Hyperlink"/>
          <w:rFonts w:ascii="microsoft yahei" w:hAnsi="microsoft yahei"/>
          <w:b/>
          <w:bCs/>
          <w:color w:val="auto"/>
          <w:sz w:val="21"/>
          <w:szCs w:val="21"/>
          <w:shd w:val="clear" w:color="auto" w:fill="FFFFFF"/>
        </w:rPr>
        <w:t>qemu</w:t>
      </w:r>
      <w:proofErr w:type="spellEnd"/>
      <w:proofErr w:type="gramEnd"/>
      <w:r w:rsidRPr="00E6217A">
        <w:rPr>
          <w:rStyle w:val="Hyperlink"/>
          <w:rFonts w:ascii="microsoft yahei" w:hAnsi="microsoft yahei"/>
          <w:b/>
          <w:bCs/>
          <w:color w:val="auto"/>
          <w:sz w:val="21"/>
          <w:szCs w:val="21"/>
          <w:shd w:val="clear" w:color="auto" w:fill="FFFFFF"/>
        </w:rPr>
        <w:t xml:space="preserve"> </w:t>
      </w:r>
      <w:r w:rsidRPr="00E6217A">
        <w:rPr>
          <w:rStyle w:val="Hyperlink"/>
          <w:rFonts w:ascii="microsoft yahei" w:hAnsi="microsoft yahei"/>
          <w:b/>
          <w:bCs/>
          <w:color w:val="auto"/>
          <w:sz w:val="21"/>
          <w:szCs w:val="21"/>
          <w:shd w:val="clear" w:color="auto" w:fill="FFFFFF"/>
        </w:rPr>
        <w:t>内存模型（内存仿真概念）</w:t>
      </w:r>
      <w:r w:rsidRPr="00E6217A">
        <w:fldChar w:fldCharType="end"/>
      </w:r>
    </w:p>
    <w:p w:rsidR="001C007E" w:rsidRPr="00E6217A" w:rsidRDefault="00E6217A"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内存API仿真了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的内存,IO总线以及对应的控制器,主要包括以下部分的仿真: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常规内存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IO映射内存(MMIO)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内存控制器(将物理内存动态的映射到不同的虚拟地址空间)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</w:rPr>
        <w:br/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内存模型主要包括以下功能: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跟踪目标机内存的变化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为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kvm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建立共享内存(coalesced memory)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为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kvm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建立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ioeventfd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 xml:space="preserve"> regions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 xml:space="preserve">    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的内存以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MemoryRegion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对象为单位被组织成无环的树型结构,树的根是从CPU的角度(the system bus)可见的内存(system memory),树中的节点表示其他总线,内存控制器以及被重新映射过的内存区域,叶子节点表示真正的RAM Regions和MMIO Regions。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中包含四种类型的Memory Regions,通过c数据结构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struct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MemoryRegion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来表示: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(1) RAM Region:目标机(GM)可用的主机(HM)上的一段虚拟地址空间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(2) MMIO Region:注册了read和write回调函数(callbacks functions)的一段目标机(HM)地址空间,对这段空间的读写操作将会调用主机上的回调函数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(3) Container:多个Memory Regions的集合,每个MR在Container中有不同的offset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(4) Alias:某个MR的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subsection,alias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类型的MR可以指向任何其他类型的MR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    Memory Regions的name通过每个MR的构造函数进行赋值,对于大多数的MR来说,其name仅仅用作调试只用,但有时也用来定位在线迁移的内存。每个MR通过构造函数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memory_region_init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*()来创建,并通过析构函数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memory_region_destrory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()来销毁,然后,通过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memory_region_add_subregion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()将其添加到目标系统的地址空间中,并通过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memory_region_del_subregion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()从地址空间中删除,另外,每个MR的属性在任何地方都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可以被改变。通常来说</w:t>
      </w:r>
      <w:proofErr w:type="gram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,不同的MR不会重叠,但是有时候,MR的重叠是很有用的,目标系统可用通过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memory</w:t>
      </w:r>
      <w:proofErr w:type="gram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_region_add_subregion_overlap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()允许同一个container中的两个MR的地址空间重叠,重叠的MR具有优先级的属性(priority),用来标识当前哪个MR是可见的。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当目标系统访问某个地址空间时,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qemu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内存管理系统按照如下规则选择一个MR: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从根节点按照降序的优先级进行匹配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如果当前的MR是叶子节点,搜索过程终止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• 如果当前MR是Container,相同的算法在Container中搜索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   • 如果当前MR是Alias,搜索从Alias指向的MR继续进行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/>
          <w:noProof/>
          <w:sz w:val="16"/>
          <w:szCs w:val="16"/>
          <w:shd w:val="clear" w:color="auto" w:fill="FFFFFF"/>
        </w:rPr>
        <w:drawing>
          <wp:inline distT="0" distB="0" distL="0" distR="0">
            <wp:extent cx="5471770" cy="2100751"/>
            <wp:effectExtent l="19050" t="0" r="0" b="0"/>
            <wp:docPr id="1" name="Picture 1" descr="http://blog.chinaunix.net/attachment/201203/6/20940095_1331043305chhA.pn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203/6/20940095_1331043305chhA.pn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685" cy="2101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    上图是简单的PC内存映射图,4G的RAM地址空间通过两个Alias MR被映射到目标系统的地址空间中,其中,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lomem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采用一一映射共映射了4G地址空间的前3.5G,himem映射到剩下的0.5G的地址空间(上图中被称为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pci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-hole)。内存控制器将640k-768k的RAM地址重新映射到PCI地址空间</w:t>
      </w:r>
      <w:proofErr w:type="gram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,命名为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vga</w:t>
      </w:r>
      <w:proofErr w:type="spellEnd"/>
      <w:proofErr w:type="gram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-window,并且比原来RAM中的这段地址空间有更高的优先级,保证了访问这段地址空间是访问的PCI地址空间中的这段地址空间。</w:t>
      </w:r>
      <w:r w:rsidRPr="00E6217A">
        <w:rPr>
          <w:rFonts w:ascii="宋体" w:eastAsia="宋体" w:hAnsi="宋体" w:hint="eastAsia"/>
          <w:sz w:val="16"/>
          <w:szCs w:val="16"/>
        </w:rPr>
        <w:br/>
      </w:r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上文中提到,只有system memory管理的地址空间是CPU可见的,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pci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地址空间并不是system memory的孩子节点,通过创建了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vga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-window和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pci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-hole两个PCI地址空间中两个子空间的别名的方式,使得PCI地址空间中的部分Region对CPU是可见的。Memory Region的属性包括:read-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only,dirty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logging,coalesced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mmio,ioeventfd</w:t>
      </w:r>
      <w:proofErr w:type="spellEnd"/>
      <w:r w:rsidRPr="00E6217A">
        <w:rPr>
          <w:rFonts w:ascii="宋体" w:eastAsia="宋体" w:hAnsi="宋体" w:hint="eastAsia"/>
          <w:sz w:val="16"/>
          <w:szCs w:val="16"/>
          <w:shd w:val="clear" w:color="auto" w:fill="FFFFFF"/>
        </w:rPr>
        <w:t>等,MMIO类型的MR提供了read()和write()两个回调函数,另外还附加了一些限制条件用来控制对两个回调函数的调用。</w:t>
      </w:r>
    </w:p>
    <w:sectPr w:rsidR="001C007E" w:rsidRPr="00E6217A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6217A"/>
    <w:rsid w:val="000A3453"/>
    <w:rsid w:val="001C007E"/>
    <w:rsid w:val="004150C9"/>
    <w:rsid w:val="0050116A"/>
    <w:rsid w:val="009422C0"/>
    <w:rsid w:val="00E62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2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17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6217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blog.chinaunix.net/attachment/201203/6/20940095_1331043305chhA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1576</Characters>
  <Application>Microsoft Office Word</Application>
  <DocSecurity>0</DocSecurity>
  <Lines>13</Lines>
  <Paragraphs>3</Paragraphs>
  <ScaleCrop>false</ScaleCrop>
  <Company>Lenovo.com</Company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2017-06-28T05:39:00Z</dcterms:created>
  <dcterms:modified xsi:type="dcterms:W3CDTF">2017-06-28T05:40:00Z</dcterms:modified>
</cp:coreProperties>
</file>