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3951"/>
            </w:pPr>
          </w:p>
          <w:p>
            <w:pPr>
              <w:pBdr>
                <w:bottom w:val="single" w:color="529286" w:sz="6" w:space="8"/>
              </w:pBdr>
              <w:spacing w:after="500"/>
              <w:ind w:left="1200" w:right="800"/>
            </w:pPr>
            <w:r>
              <w:rPr>
                <w:rFonts w:ascii="Calibri"/>
                <w:color w:val="529286"/>
                <w:spacing w:val="40"/>
                <w:sz w:val="18"/>
                <w:szCs w:val="18"/>
              </w:rPr>
              <w:t xml:space="preserve">G  A  P     A  N  A  L  Y  S  I  S     A  N  D     R  I  S  K     M  I  T  I  G  A  T  I  O  N     R  E  P  O  R  T</w:t>
            </w:r>
          </w:p>
          <w:p>
            <w:pPr>
              <w:spacing w:after="100" w:line="920" w:lineRule="atLeast"/>
              <w:ind w:left="1200"/>
            </w:pPr>
            <w:r>
              <w:rPr>
                <w:rFonts w:ascii="Arial"/>
                <w:b/>
                <w:bCs/>
                <w:color w:val="FFFFFF"/>
                <w:sz w:val="80"/>
                <w:szCs w:val="80"/>
              </w:rPr>
              <w:t xml:space="preserve">Multi-Agent AI</w:t>
            </w:r>
          </w:p>
          <w:p>
            <w:pPr>
              <w:spacing w:after="100" w:line="920" w:lineRule="atLeast"/>
              <w:ind w:left="1200"/>
            </w:pPr>
            <w:r>
              <w:rPr>
                <w:rFonts w:ascii="Arial"/>
                <w:b/>
                <w:bCs/>
                <w:color w:val="FFFFFF"/>
                <w:sz w:val="80"/>
                <w:szCs w:val="80"/>
              </w:rPr>
              <w:t xml:space="preserve">Engineering Audit</w:t>
            </w:r>
          </w:p>
          <w:p>
            <w:pPr>
              <w:spacing w:after="300" w:line="920" w:lineRule="atLeast"/>
              <w:ind w:left="1200"/>
            </w:pPr>
            <w:r>
              <w:rPr>
                <w:rFonts w:ascii="Arial"/>
                <w:b/>
                <w:bCs/>
                <w:color w:val="FFFFFF"/>
                <w:sz w:val="80"/>
                <w:szCs w:val="80"/>
              </w:rPr>
              <w:t xml:space="preserve">Platform</w:t>
            </w:r>
          </w:p>
          <w:p>
            <w:pPr>
              <w:spacing w:after="800"/>
              <w:ind w:left="1200"/>
            </w:pPr>
            <w:r>
              <w:rPr>
                <w:rFonts w:ascii="Arial"/>
                <w:color w:val="B0B8C0"/>
                <w:sz w:val="24"/>
                <w:szCs w:val="24"/>
              </w:rPr>
              <w:t xml:space="preserve">Gap Analysis and Risk Mitigation</w:t>
            </w:r>
          </w:p>
          <w:p>
            <w:pPr>
              <w:pBdr>
                <w:left w:val="single" w:color="529286" w:sz="8" w:space="12"/>
              </w:pBdr>
              <w:spacing w:after="80"/>
              <w:ind w:left="1400"/>
            </w:pPr>
            <w:r>
              <w:rPr>
                <w:rFonts w:ascii="Arial"/>
                <w:color w:val="90989F"/>
                <w:sz w:val="24"/>
                <w:szCs w:val="24"/>
              </w:rPr>
              <w:t xml:space="preserve">Phase 3 of 5: Analysis and Planning</w:t>
            </w:r>
          </w:p>
          <w:p>
            <w:pPr>
              <w:pBdr>
                <w:left w:val="single" w:color="529286" w:sz="8" w:space="12"/>
              </w:pBdr>
              <w:spacing w:after="80"/>
              <w:ind w:left="1400"/>
            </w:pPr>
            <w:r>
              <w:rPr>
                <w:rFonts w:ascii="Arial"/>
                <w:color w:val="90989F"/>
                <w:sz w:val="24"/>
                <w:szCs w:val="24"/>
              </w:rPr>
              <w:t xml:space="preserve">Document Version: 1.0</w:t>
            </w:r>
          </w:p>
          <w:p>
            <w:pPr>
              <w:pBdr>
                <w:left w:val="single" w:color="529286" w:sz="8" w:space="12"/>
              </w:pBdr>
              <w:spacing w:after="80"/>
              <w:ind w:left="1400"/>
            </w:pPr>
            <w:r>
              <w:rPr>
                <w:rFonts w:ascii="Arial"/>
                <w:color w:val="90989F"/>
                <w:sz w:val="24"/>
                <w:szCs w:val="24"/>
              </w:rPr>
              <w:t xml:space="preserve">Date: 2026-08-03</w:t>
            </w:r>
          </w:p>
          <w:p>
            <w:pPr>
              <w:pBdr>
                <w:left w:val="single" w:color="529286" w:sz="8" w:space="12"/>
              </w:pBdr>
              <w:spacing w:after="80"/>
              <w:ind w:left="1400"/>
            </w:pPr>
            <w:r>
              <w:rPr>
                <w:rFonts w:ascii="Arial"/>
                <w:color w:val="90989F"/>
                <w:sz w:val="24"/>
                <w:szCs w:val="24"/>
              </w:rPr>
              <w:t xml:space="preserve">Classification: Internal - Engineering</w:t>
            </w:r>
          </w:p>
          <w:p>
            <w:pPr>
              <w:spacing w:before="3951"/>
            </w:pPr>
          </w:p>
          <w:p>
            <w:pPr>
              <w:pBdr>
                <w:top w:val="single" w:color="529286" w:sz="2" w:space="8"/>
              </w:pBdr>
              <w:spacing w:before="200"/>
              <w:ind w:left="1200" w:right="800"/>
            </w:pPr>
            <w:r>
              <w:rPr>
                <w:rFonts w:ascii="Arial"/>
                <w:color w:val="687078"/>
                <w:sz w:val="16"/>
                <w:szCs w:val="16"/>
              </w:rPr>
              <w:t xml:space="preserve">CONFIDENTIAL</w:t>
            </w:r>
            <w:r>
              <w:t xml:space="preserve">                                        </w:t>
            </w:r>
            <w:r>
              <w:rPr>
                <w:rFonts w:ascii="Arial"/>
                <w:color w:val="687078"/>
                <w:sz w:val="16"/>
                <w:szCs w:val="16"/>
              </w:rPr>
              <w:t xml:space="preserve">Anti-Hallucination AI Audit Platform</w:t>
            </w:r>
          </w:p>
        </w:tc>
      </w:tr>
    </w:tbl>
    <w:p>
      <w:pPr>
        <w:sectPr>
          <w:pgSz w:w="11906" w:h="16838" w:orient="portrait"/>
          <w:pgMar w:top="0" w:right="0" w:bottom="0" w:left="0" w:header="708" w:footer="708" w:gutter="0"/>
          <w:pgNumType/>
          <w:docGrid w:linePitch="360"/>
        </w:sectPr>
      </w:pPr>
    </w:p>
    <w:p>
      <w:pPr>
        <w:spacing w:after="300"/>
      </w:pPr>
      <w:r>
        <w:rPr>
          <w:rFonts w:ascii="Calibri"/>
          <w:b/>
          <w:bCs/>
          <w:color w:val="0A162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type w:val="nextPage"/>
          <w:pgSz w:w="11906" w:h="16838" w:orient="portrait"/>
          <w:pgMar w:top="1440" w:right="1417" w:bottom="1440" w:left="1701" w:header="708" w:footer="708" w:gutter="0"/>
          <w:pgNumType/>
          <w:docGrid w:linePitch="360"/>
        </w:sectPr>
      </w:pPr>
    </w:p>
    <w:p>
      <w:pPr>
        <w:pStyle w:val="Heading1"/>
        <w:spacing w:after="200" w:before="400"/>
      </w:pPr>
      <w:r>
        <w:rPr>
          <w:rFonts w:ascii="Calibri"/>
          <w:b/>
          <w:bCs/>
          <w:color w:val="0A1628"/>
          <w:sz w:val="32"/>
          <w:szCs w:val="32"/>
        </w:rPr>
        <w:t xml:space="preserve">1. Executive Summary</w:t>
      </w:r>
    </w:p>
    <w:p>
      <w:pPr>
        <w:spacing w:after="120" w:line="312"/>
      </w:pPr>
      <w:r>
        <w:rPr>
          <w:rFonts w:ascii="Calibri"/>
          <w:color w:val="000000"/>
          <w:sz w:val="24"/>
          <w:szCs w:val="24"/>
        </w:rPr>
        <w:t xml:space="preserve">This Gap Analysis and Risk Mitigation document identifies every known gap, limitation, and risk in the Anti-Hallucination Multi-Agent AI Engineering Audit Platform design. Each gap is analyzed with a concrete root cause, a specific mitigation approach, and measurable acceptance criteria. The gaps were identified through systematic analysis of the platform architecture against production requirements, Cloudflare platform constraints, and real-world failure modes of LLM-based systems. The analysis covers six categories: Platform Gaps (Cloudflare infrastructure limitations), Anti-Hallucination Gaps (LLM behavior risks), Agent Orchestration Gaps (coordination and scaling risks), Data Architecture Gaps (storage and retrieval limitations), Security Gaps (tenant isolation and secrets handling), and Operational Gaps (monitoring, debugging, and incident response). A lifecycle summary at the end maps each gap to its detection phase and resolution status, providing a single-view dashboard of platform maturity.</w:t>
      </w:r>
    </w:p>
    <w:p>
      <w:pPr>
        <w:pStyle w:val="Heading1"/>
        <w:spacing w:after="200" w:before="400"/>
      </w:pPr>
      <w:r>
        <w:rPr>
          <w:rFonts w:ascii="Calibri"/>
          <w:b/>
          <w:bCs/>
          <w:color w:val="0A1628"/>
          <w:sz w:val="32"/>
          <w:szCs w:val="32"/>
        </w:rPr>
        <w:t xml:space="preserve">2. Platform Gaps</w:t>
      </w:r>
    </w:p>
    <w:p>
      <w:pPr>
        <w:pStyle w:val="Heading2"/>
        <w:spacing w:after="160" w:before="300"/>
      </w:pPr>
      <w:r>
        <w:rPr>
          <w:rFonts w:ascii="Calibri"/>
          <w:b/>
          <w:bCs/>
          <w:color w:val="0A1628"/>
          <w:sz w:val="28"/>
          <w:szCs w:val="28"/>
        </w:rPr>
        <w:t xml:space="preserve">GAP-001: Git Diff Ingestion Missing</w:t>
      </w:r>
    </w:p>
    <w:p>
      <w:pPr>
        <w:spacing w:after="120" w:before="240"/>
      </w:pPr>
      <w:r>
        <w:rPr>
          <w:rFonts w:ascii="Calibri"/>
          <w:b/>
          <w:bCs/>
          <w:color w:val="0A1628"/>
          <w:sz w:val="24"/>
          <w:szCs w:val="24"/>
        </w:rPr>
        <w:t xml:space="preserve">Root Cause</w:t>
      </w:r>
    </w:p>
    <w:p>
      <w:pPr>
        <w:spacing w:after="120" w:line="312"/>
      </w:pPr>
      <w:r>
        <w:rPr>
          <w:rFonts w:ascii="Calibri"/>
          <w:color w:val="000000"/>
          <w:sz w:val="24"/>
          <w:szCs w:val="24"/>
        </w:rPr>
        <w:t xml:space="preserve">The current ingestion pipeline only supports full repository snapshots (zip upload or GitHub URL clone). It lacks the ability to ingest Git diffs (incremental changes), which means every re-audit requires re-ingesting the entire repository. For large repositories with thousands of files, this results in unnecessary R2 storage consumption, prolonged ingestion times, and repeated analysis of unchanged files. The content_hash change detection partially addresses this by skipping unchanged files during re-analysis, but the diff ingestion gap means the system cannot determine WHICH files changed without re-walking the entire repository.</w:t>
      </w:r>
    </w:p>
    <w:p>
      <w:pPr>
        <w:spacing w:after="120" w:before="240"/>
      </w:pPr>
      <w:r>
        <w:rPr>
          <w:rFonts w:ascii="Calibri"/>
          <w:b/>
          <w:bCs/>
          <w:color w:val="0A1628"/>
          <w:sz w:val="24"/>
          <w:szCs w:val="24"/>
        </w:rPr>
        <w:t xml:space="preserve">Mitigation Approach</w:t>
      </w:r>
    </w:p>
    <w:p>
      <w:pPr>
        <w:spacing w:after="120" w:line="312"/>
      </w:pPr>
      <w:r>
        <w:rPr>
          <w:rFonts w:ascii="Calibri"/>
          <w:color w:val="000000"/>
          <w:sz w:val="24"/>
          <w:szCs w:val="24"/>
        </w:rPr>
        <w:t xml:space="preserve">Implement a Git Diff Worker that integrates with the GitHub API's commits and pull request endpoints. When a re-audit is triggered, instead of cloning the full repository, the worker fetches the list of changed files between the last analyzed commit SHA (stored in the audit_sessions table) and the current HEAD. Only changed files are re-chunked and stored in R2. The files table is updated with new content_hash values for changed files only. Unchanged files retain their existing chunks and analysis results. This requires adding a last_commit_sha column to the audit_sessions table and a GitHub API integration token to the tenant configuration.</w:t>
      </w:r>
    </w:p>
    <w:p>
      <w:pPr>
        <w:spacing w:after="120" w:before="240"/>
      </w:pPr>
      <w:r>
        <w:rPr>
          <w:rFonts w:ascii="Calibri"/>
          <w:b/>
          <w:bCs/>
          <w:color w:val="0A1628"/>
          <w:sz w:val="24"/>
          <w:szCs w:val="24"/>
        </w:rPr>
        <w:t xml:space="preserve">Acceptance Criteria</w:t>
      </w:r>
    </w:p>
    <w:p>
      <w:pPr>
        <w:spacing w:after="120" w:line="312"/>
      </w:pPr>
      <w:r>
        <w:rPr>
          <w:rFonts w:ascii="Calibri"/>
          <w:color w:val="000000"/>
          <w:sz w:val="24"/>
          <w:szCs w:val="24"/>
        </w:rPr>
        <w:t xml:space="preserve">(1) A new audit triggered on an already-analyzed repository with 10 changed files out of 1000 total should complete ingestion in under 30 seconds, compared to 5+ minutes for full ingestion. (2) The files table should show only 10 files with updated content_hash values. (3) Existing findings on unchanged files should be preserved and not duplicated. (4) The API endpoint POST /api/v1/audits should accept an optional since_commit parameter to trigger diff-based ingestion. (5) Unit tests should cover the diff parsing logic with at least 95% branch coverage.</w:t>
      </w:r>
    </w:p>
    <w:p>
      <w:pPr>
        <w:pStyle w:val="Heading2"/>
        <w:spacing w:after="160" w:before="300"/>
      </w:pPr>
      <w:r>
        <w:rPr>
          <w:rFonts w:ascii="Calibri"/>
          <w:b/>
          <w:bCs/>
          <w:color w:val="0A1628"/>
          <w:sz w:val="28"/>
          <w:szCs w:val="28"/>
        </w:rPr>
        <w:t xml:space="preserve">GAP-002: Agent Cold-Start Latency</w:t>
      </w:r>
    </w:p>
    <w:p>
      <w:pPr>
        <w:spacing w:after="120" w:before="240"/>
      </w:pPr>
      <w:r>
        <w:rPr>
          <w:rFonts w:ascii="Calibri"/>
          <w:b/>
          <w:bCs/>
          <w:color w:val="0A1628"/>
          <w:sz w:val="24"/>
          <w:szCs w:val="24"/>
        </w:rPr>
        <w:t xml:space="preserve">Root Cause</w:t>
      </w:r>
    </w:p>
    <w:p>
      <w:pPr>
        <w:spacing w:after="120" w:line="312"/>
      </w:pPr>
      <w:r>
        <w:rPr>
          <w:rFonts w:ascii="Calibri"/>
          <w:color w:val="000000"/>
          <w:sz w:val="24"/>
          <w:szCs w:val="24"/>
        </w:rPr>
        <w:t xml:space="preserve">Cloudflare Durable Objects hibernate after 30 seconds of inactivity and require a cold start when reactivated. For specialist agents that are spawned in parallel at the beginning of an audit, this cold start adds latency to the initial analysis phase. While individual cold starts are typically under 100ms on Cloudflare edge, the cumulative effect of spawning 15 agents simultaneously can add 1-2 seconds before any analysis begins. Additionally, if an agent hibernates mid-analysis (for example, while waiting for an LLM response that takes longer than 30 seconds), it must be re-woken, potentially losing in-memory analysis state if not properly checkpointed.</w:t>
      </w:r>
    </w:p>
    <w:p>
      <w:pPr>
        <w:spacing w:after="120" w:before="240"/>
      </w:pPr>
      <w:r>
        <w:rPr>
          <w:rFonts w:ascii="Calibri"/>
          <w:b/>
          <w:bCs/>
          <w:color w:val="0A1628"/>
          <w:sz w:val="24"/>
          <w:szCs w:val="24"/>
        </w:rPr>
        <w:t xml:space="preserve">Mitigation Approach</w:t>
      </w:r>
    </w:p>
    <w:p>
      <w:pPr>
        <w:spacing w:after="120" w:line="312"/>
      </w:pPr>
      <w:r>
        <w:rPr>
          <w:rFonts w:ascii="Calibri"/>
          <w:color w:val="000000"/>
          <w:sz w:val="24"/>
          <w:szCs w:val="24"/>
        </w:rPr>
        <w:t xml:space="preserve">Implement a pre-warming mechanism where the Coordinator sends a lightweight 'ping' RPC to each specialist agent immediately after spawning, forcing the Durable Object to initialize before the actual analysis workload arrives. Additionally, implement state checkpointing in each agent: at the end of each ReAct loop iteration, the agent writes its current analysis state (current file index, ReAct position, partial findings) to its Durable Object SQLite storage. If the agent hibernates and is re-woken, it reads the checkpoint and resumes from the exact position. The Project Think SDK's durable execution with fibers provides automatic checkpointing, but explicit application-level checkpoints provide finer-grained recovery.</w:t>
      </w:r>
    </w:p>
    <w:p>
      <w:pPr>
        <w:spacing w:after="120" w:before="240"/>
      </w:pPr>
      <w:r>
        <w:rPr>
          <w:rFonts w:ascii="Calibri"/>
          <w:b/>
          <w:bCs/>
          <w:color w:val="0A1628"/>
          <w:sz w:val="24"/>
          <w:szCs w:val="24"/>
        </w:rPr>
        <w:t xml:space="preserve">Acceptance Criteria</w:t>
      </w:r>
    </w:p>
    <w:p>
      <w:pPr>
        <w:spacing w:after="120" w:line="312"/>
      </w:pPr>
      <w:r>
        <w:rPr>
          <w:rFonts w:ascii="Calibri"/>
          <w:color w:val="000000"/>
          <w:sz w:val="24"/>
          <w:szCs w:val="24"/>
        </w:rPr>
        <w:t xml:space="preserve">(1) Agent cold-start latency should be under 50ms after pre-warming. (2) An agent that hibernates mid-analysis should resume within 200ms with no loss of analysis state. (3) End-to-end audit latency for a 100-file repository should not exceed 8 minutes including cold-start overhead. (4) Checkpoint recovery should be tested with simulated hibernation at each ReAct loop iteration.</w:t>
      </w:r>
    </w:p>
    <w:p>
      <w:pPr>
        <w:pStyle w:val="Heading2"/>
        <w:spacing w:after="160" w:before="300"/>
      </w:pPr>
      <w:r>
        <w:rPr>
          <w:rFonts w:ascii="Calibri"/>
          <w:b/>
          <w:bCs/>
          <w:color w:val="0A1628"/>
          <w:sz w:val="28"/>
          <w:szCs w:val="28"/>
        </w:rPr>
        <w:t xml:space="preserve">GAP-003: Environment Simulation Absent</w:t>
      </w:r>
    </w:p>
    <w:p>
      <w:pPr>
        <w:spacing w:after="120" w:before="240"/>
      </w:pPr>
      <w:r>
        <w:rPr>
          <w:rFonts w:ascii="Calibri"/>
          <w:b/>
          <w:bCs/>
          <w:color w:val="0A1628"/>
          <w:sz w:val="24"/>
          <w:szCs w:val="24"/>
        </w:rPr>
        <w:t xml:space="preserve">Root Cause</w:t>
      </w:r>
    </w:p>
    <w:p>
      <w:pPr>
        <w:spacing w:after="120" w:line="312"/>
      </w:pPr>
      <w:r>
        <w:rPr>
          <w:rFonts w:ascii="Calibri"/>
          <w:color w:val="000000"/>
          <w:sz w:val="24"/>
          <w:szCs w:val="24"/>
        </w:rPr>
        <w:t xml:space="preserve">The platform currently analyzes code statically. It cannot execute code, run tests, or simulate runtime environments. This means it cannot detect runtime-only issues such as race conditions that only manifest under concurrent load, memory leaks that only appear after sustained operation, or integration failures between services that depend on specific environment configurations. The Visual QA Agent addresses part of this gap by testing deployed or staged environments via Browser Run, but it cannot test backend services, API endpoints, or database interactions that require a running server.</w:t>
      </w:r>
    </w:p>
    <w:p>
      <w:pPr>
        <w:spacing w:after="120" w:before="240"/>
      </w:pPr>
      <w:r>
        <w:rPr>
          <w:rFonts w:ascii="Calibri"/>
          <w:b/>
          <w:bCs/>
          <w:color w:val="0A1628"/>
          <w:sz w:val="24"/>
          <w:szCs w:val="24"/>
        </w:rPr>
        <w:t xml:space="preserve">Mitigation Approach</w:t>
      </w:r>
    </w:p>
    <w:p>
      <w:pPr>
        <w:spacing w:after="120" w:line="312"/>
      </w:pPr>
      <w:r>
        <w:rPr>
          <w:rFonts w:ascii="Calibri"/>
          <w:color w:val="000000"/>
          <w:sz w:val="24"/>
          <w:szCs w:val="24"/>
        </w:rPr>
        <w:t xml:space="preserve">Leverage Cloudflare Dynamic Workers as sandboxed execution environments. When the Testing Agent identifies a test file, the system can spin up a Dynamic Worker to execute the test in an isolated V8 isolate with controlled API mocks. For API endpoint testing, the Visual QA Agent can be extended to make HTTP requests to staged environments (using tenant-configured staging URLs) and validate responses against expected schemas. For database interaction testing, the system can provision a temporary D1 database, run migrations, and execute query patterns to detect issues. This is a phased implementation: Phase 1 supports static analysis only (current), Phase 2 adds Dynamic Worker test execution, Phase 3 adds staged environment API testing, and Phase 4 adds full integration testing with provisioned infrastructure.</w:t>
      </w:r>
    </w:p>
    <w:p>
      <w:pPr>
        <w:spacing w:after="120" w:before="240"/>
      </w:pPr>
      <w:r>
        <w:rPr>
          <w:rFonts w:ascii="Calibri"/>
          <w:b/>
          <w:bCs/>
          <w:color w:val="0A1628"/>
          <w:sz w:val="24"/>
          <w:szCs w:val="24"/>
        </w:rPr>
        <w:t xml:space="preserve">Acceptance Criteria</w:t>
      </w:r>
    </w:p>
    <w:p>
      <w:pPr>
        <w:spacing w:after="120" w:line="312"/>
      </w:pPr>
      <w:r>
        <w:rPr>
          <w:rFonts w:ascii="Calibri"/>
          <w:color w:val="000000"/>
          <w:sz w:val="24"/>
          <w:szCs w:val="24"/>
        </w:rPr>
        <w:t xml:space="preserve">(1) Phase 1 (current) should detect all statically identifiable issues in the test repository with 90%+ recall. (2) Phase 2 should execute test files in Dynamic Workers and report pass/fail status for each test. (3) Phase 3 should validate API responses against OpenAPI schemas. (4) Each phase should have its own acceptance criteria validated before proceeding to the next.</w:t>
      </w:r>
    </w:p>
    <w:p>
      <w:pPr>
        <w:pStyle w:val="Heading2"/>
        <w:spacing w:after="160" w:before="300"/>
      </w:pPr>
      <w:r>
        <w:rPr>
          <w:rFonts w:ascii="Calibri"/>
          <w:b/>
          <w:bCs/>
          <w:color w:val="0A1628"/>
          <w:sz w:val="28"/>
          <w:szCs w:val="28"/>
        </w:rPr>
        <w:t xml:space="preserve">GAP-004: Multi-Repository Support</w:t>
      </w:r>
    </w:p>
    <w:p>
      <w:pPr>
        <w:spacing w:after="120" w:before="240"/>
      </w:pPr>
      <w:r>
        <w:rPr>
          <w:rFonts w:ascii="Calibri"/>
          <w:b/>
          <w:bCs/>
          <w:color w:val="0A1628"/>
          <w:sz w:val="24"/>
          <w:szCs w:val="24"/>
        </w:rPr>
        <w:t xml:space="preserve">Root Cause</w:t>
      </w:r>
    </w:p>
    <w:p>
      <w:pPr>
        <w:spacing w:after="120" w:line="312"/>
      </w:pPr>
      <w:r>
        <w:rPr>
          <w:rFonts w:ascii="Calibri"/>
          <w:color w:val="000000"/>
          <w:sz w:val="24"/>
          <w:szCs w:val="24"/>
        </w:rPr>
        <w:t xml:space="preserve">The current architecture assumes a single repository per audit session. Modern engineering organizations typically maintain multiple interconnected repositories (frontend, backend, shared libraries, infrastructure). A security vulnerability in a shared library may affect multiple consuming repositories, but the current system cannot track these cross-repo dependencies. Similarly, an API contract change in the backend repository should trigger re-analysis of the frontend repository that consumes that API, but there is no mechanism for cross-repo audit triggering.</w:t>
      </w:r>
    </w:p>
    <w:p>
      <w:pPr>
        <w:spacing w:after="120" w:before="240"/>
      </w:pPr>
      <w:r>
        <w:rPr>
          <w:rFonts w:ascii="Calibri"/>
          <w:b/>
          <w:bCs/>
          <w:color w:val="0A1628"/>
          <w:sz w:val="24"/>
          <w:szCs w:val="24"/>
        </w:rPr>
        <w:t xml:space="preserve">Mitigation Approach</w:t>
      </w:r>
    </w:p>
    <w:p>
      <w:pPr>
        <w:spacing w:after="120" w:line="312"/>
      </w:pPr>
      <w:r>
        <w:rPr>
          <w:rFonts w:ascii="Calibri"/>
          <w:color w:val="000000"/>
          <w:sz w:val="24"/>
          <w:szCs w:val="24"/>
        </w:rPr>
        <w:t xml:space="preserve">Introduce a Repository Group concept: a tenant can define groups of related repositories with dependency relationships. The audit_sessions table gains a repo_group_id column. When an audit completes on a repository, the system checks if any dependent repositories exist in the same group and triggers re-audits on them if relevant findings (API changes, dependency updates, shared library modifications) are detected. The findings table gains a source_repo_id column to track cross-repo findings. The Priority Resolver considers cross-repo impact when computing priority scores: a finding in a shared library is automatically escalated if consuming repositories are affected.</w:t>
      </w:r>
    </w:p>
    <w:p>
      <w:pPr>
        <w:spacing w:after="120" w:before="240"/>
      </w:pPr>
      <w:r>
        <w:rPr>
          <w:rFonts w:ascii="Calibri"/>
          <w:b/>
          <w:bCs/>
          <w:color w:val="0A1628"/>
          <w:sz w:val="24"/>
          <w:szCs w:val="24"/>
        </w:rPr>
        <w:t xml:space="preserve">Acceptance Criteria</w:t>
      </w:r>
    </w:p>
    <w:p>
      <w:pPr>
        <w:spacing w:after="120" w:line="312"/>
      </w:pPr>
      <w:r>
        <w:rPr>
          <w:rFonts w:ascii="Calibri"/>
          <w:color w:val="000000"/>
          <w:sz w:val="24"/>
          <w:szCs w:val="24"/>
        </w:rPr>
        <w:t xml:space="preserve">(1) A tenant should be able to create a repository group with up to 20 repositories. (2) An audit finding in a shared library should trigger re-audit of all consuming repositories within 5 minutes. (3) The dashboard should show cross-repo dependency graphs. (4) Each finding should display which repositories are affected.</w:t>
      </w:r>
    </w:p>
    <w:p>
      <w:pPr>
        <w:pStyle w:val="Heading2"/>
        <w:spacing w:after="160" w:before="300"/>
      </w:pPr>
      <w:r>
        <w:rPr>
          <w:rFonts w:ascii="Calibri"/>
          <w:b/>
          <w:bCs/>
          <w:color w:val="0A1628"/>
          <w:sz w:val="28"/>
          <w:szCs w:val="28"/>
        </w:rPr>
        <w:t xml:space="preserve">GAP-005: Token Budget Enforcement</w:t>
      </w:r>
    </w:p>
    <w:p>
      <w:pPr>
        <w:spacing w:after="120" w:before="240"/>
      </w:pPr>
      <w:r>
        <w:rPr>
          <w:rFonts w:ascii="Calibri"/>
          <w:b/>
          <w:bCs/>
          <w:color w:val="0A1628"/>
          <w:sz w:val="24"/>
          <w:szCs w:val="24"/>
        </w:rPr>
        <w:t xml:space="preserve">Root Cause</w:t>
      </w:r>
    </w:p>
    <w:p>
      <w:pPr>
        <w:spacing w:after="120" w:line="312"/>
      </w:pPr>
      <w:r>
        <w:rPr>
          <w:rFonts w:ascii="Calibri"/>
          <w:color w:val="000000"/>
          <w:sz w:val="24"/>
          <w:szCs w:val="24"/>
        </w:rPr>
        <w:t xml:space="preserve">While each agent has a configurable max_tokens parameter for individual LLM calls, there is no global token budget enforcement across an entire audit session. A large repository with many files could consume unbounded tokens as agents analyze file after file. Without a session-level budget, costs are unpredictable and a single audit on a large codebase could exhaust the tenant's allocated budget. The 128MB per-isolate memory limit also constrains how much context an agent can accumulate in a single invocation.</w:t>
      </w:r>
    </w:p>
    <w:p>
      <w:pPr>
        <w:spacing w:after="120" w:before="240"/>
      </w:pPr>
      <w:r>
        <w:rPr>
          <w:rFonts w:ascii="Calibri"/>
          <w:b/>
          <w:bCs/>
          <w:color w:val="0A1628"/>
          <w:sz w:val="24"/>
          <w:szCs w:val="24"/>
        </w:rPr>
        <w:t xml:space="preserve">Mitigation Approach</w:t>
      </w:r>
    </w:p>
    <w:p>
      <w:pPr>
        <w:spacing w:after="120" w:line="312"/>
      </w:pPr>
      <w:r>
        <w:rPr>
          <w:rFonts w:ascii="Calibri"/>
          <w:color w:val="000000"/>
          <w:sz w:val="24"/>
          <w:szCs w:val="24"/>
        </w:rPr>
        <w:t xml:space="preserve">Implement a Token Budget Manager as a Durable Object that tracks cumulative token usage per audit session. Before each LLM call, the agent queries the budget manager for remaining tokens. If the budget is exhausted, the agent stops analysis and marks remaining files as 'not_analyzed' with a reason of 'token_budget_exhausted'. The budget is configurable per tenant (stored in tenant configuration) with default limits of 100K tokens for free plans and 1M tokens for paid plans. The budget manager also provides real-time token usage tracking to the dashboard, enabling engineering managers to monitor costs as the audit progresses. Over-budget alerts are sent via WebSocket to connected dashboard clients.</w:t>
      </w:r>
    </w:p>
    <w:p>
      <w:pPr>
        <w:spacing w:after="120" w:before="240"/>
      </w:pPr>
      <w:r>
        <w:rPr>
          <w:rFonts w:ascii="Calibri"/>
          <w:b/>
          <w:bCs/>
          <w:color w:val="0A1628"/>
          <w:sz w:val="24"/>
          <w:szCs w:val="24"/>
        </w:rPr>
        <w:t xml:space="preserve">Acceptance Criteria</w:t>
      </w:r>
    </w:p>
    <w:p>
      <w:pPr>
        <w:spacing w:after="120" w:line="312"/>
      </w:pPr>
      <w:r>
        <w:rPr>
          <w:rFonts w:ascii="Calibri"/>
          <w:color w:val="000000"/>
          <w:sz w:val="24"/>
          <w:szCs w:val="24"/>
        </w:rPr>
        <w:t xml:space="preserve">(1) An audit session should halt when its token budget is exhausted. (2) The dashboard should display real-time token usage with a progress bar. (3) Over-budget alerts should fire when 80% and 100% of budget is consumed. (4) The budget should be configurable per tenant via the API.</w:t>
      </w:r>
    </w:p>
    <w:p>
      <w:pPr>
        <w:pStyle w:val="Heading2"/>
        <w:spacing w:after="160" w:before="300"/>
      </w:pPr>
      <w:r>
        <w:rPr>
          <w:rFonts w:ascii="Calibri"/>
          <w:b/>
          <w:bCs/>
          <w:color w:val="0A1628"/>
          <w:sz w:val="28"/>
          <w:szCs w:val="28"/>
        </w:rPr>
        <w:t xml:space="preserve">GAP-006: Secrets Redaction Depth</w:t>
      </w:r>
    </w:p>
    <w:p>
      <w:pPr>
        <w:spacing w:after="120" w:before="240"/>
      </w:pPr>
      <w:r>
        <w:rPr>
          <w:rFonts w:ascii="Calibri"/>
          <w:b/>
          <w:bCs/>
          <w:color w:val="0A1628"/>
          <w:sz w:val="24"/>
          <w:szCs w:val="24"/>
        </w:rPr>
        <w:t xml:space="preserve">Root Cause</w:t>
      </w:r>
    </w:p>
    <w:p>
      <w:pPr>
        <w:spacing w:after="120" w:line="312"/>
      </w:pPr>
      <w:r>
        <w:rPr>
          <w:rFonts w:ascii="Calibri"/>
          <w:color w:val="000000"/>
          <w:sz w:val="24"/>
          <w:szCs w:val="24"/>
        </w:rPr>
        <w:t xml:space="preserve">The current secrets redaction uses SHA-256 hashing to replace detected secrets with their hashes. However, the redaction only applies to the evidence_quote field in findings. The original file content stored in R2 is not redacted, and the LLM receives unredacted file chunks during analysis. If an agent's analysis context (the file chunk sent to the LLM) contains secrets, those secrets are transmitted to the LLM provider's API. While the LLM provider's terms of service typically prohibit misuse, this represents a potential data exposure vector, especially for tenants in regulated industries (healthcare, finance) with strict data handling requirements.</w:t>
      </w:r>
    </w:p>
    <w:p>
      <w:pPr>
        <w:spacing w:after="120" w:before="240"/>
      </w:pPr>
      <w:r>
        <w:rPr>
          <w:rFonts w:ascii="Calibri"/>
          <w:b/>
          <w:bCs/>
          <w:color w:val="0A1628"/>
          <w:sz w:val="24"/>
          <w:szCs w:val="24"/>
        </w:rPr>
        <w:t xml:space="preserve">Mitigation Approach</w:t>
      </w:r>
    </w:p>
    <w:p>
      <w:pPr>
        <w:spacing w:after="120" w:line="312"/>
      </w:pPr>
      <w:r>
        <w:rPr>
          <w:rFonts w:ascii="Calibri"/>
          <w:color w:val="000000"/>
          <w:sz w:val="24"/>
          <w:szCs w:val="24"/>
        </w:rPr>
        <w:t xml:space="preserve">Implement two-stage redaction. Stage 1 (Pre-LLM Redaction): Before sending file chunks to the LLM, run a pattern-based secrets detector (regex for API keys, passwords, tokens, connection strings, private keys) and replace matches with [REDACTED] placeholders. The original unredacted chunk is stored only in R2 and is never transmitted to the LLM. Stage 2 (Post-Analysis Redaction): After the agent produces findings, the evidence_quote field is checked against the original unredacted content. If the quote contains a secret, it is replaced with the SHA-256 hash before storage in D1. A tenant-level configuration flag (strict_redaction) controls whether Stage 1 is enabled: strict_redaction=true for regulated industries, false for others (where some false positive redaction may impair analysis quality).</w:t>
      </w:r>
    </w:p>
    <w:p>
      <w:pPr>
        <w:spacing w:after="120" w:before="240"/>
      </w:pPr>
      <w:r>
        <w:rPr>
          <w:rFonts w:ascii="Calibri"/>
          <w:b/>
          <w:bCs/>
          <w:color w:val="0A1628"/>
          <w:sz w:val="24"/>
          <w:szCs w:val="24"/>
        </w:rPr>
        <w:t xml:space="preserve">Acceptance Criteria</w:t>
      </w:r>
    </w:p>
    <w:p>
      <w:pPr>
        <w:spacing w:after="120" w:line="312"/>
      </w:pPr>
      <w:r>
        <w:rPr>
          <w:rFonts w:ascii="Calibri"/>
          <w:color w:val="000000"/>
          <w:sz w:val="24"/>
          <w:szCs w:val="24"/>
        </w:rPr>
        <w:t xml:space="preserve">(1) With strict_redaction=true, no secret pattern should appear in any LLM API call payload. (2) Evidence quotes should contain either redacted placeholders or SHA-256 hashes, never raw secrets. (3) False positive redaction rate should be below 5% on a benchmark of 1000 non-secret code snippets. (4) Performance impact of pre-LLM redaction should be under 50ms per file chunk.</w:t>
      </w:r>
    </w:p>
    <w:p>
      <w:pPr>
        <w:pStyle w:val="Heading2"/>
        <w:spacing w:after="160" w:before="300"/>
      </w:pPr>
      <w:r>
        <w:rPr>
          <w:rFonts w:ascii="Calibri"/>
          <w:b/>
          <w:bCs/>
          <w:color w:val="0A1628"/>
          <w:sz w:val="28"/>
          <w:szCs w:val="28"/>
        </w:rPr>
        <w:t xml:space="preserve">GAP-007: Rate Limiting Granularity</w:t>
      </w:r>
    </w:p>
    <w:p>
      <w:pPr>
        <w:spacing w:after="120" w:before="240"/>
      </w:pPr>
      <w:r>
        <w:rPr>
          <w:rFonts w:ascii="Calibri"/>
          <w:b/>
          <w:bCs/>
          <w:color w:val="0A1628"/>
          <w:sz w:val="24"/>
          <w:szCs w:val="24"/>
        </w:rPr>
        <w:t xml:space="preserve">Root Cause</w:t>
      </w:r>
    </w:p>
    <w:p>
      <w:pPr>
        <w:spacing w:after="120" w:line="312"/>
      </w:pPr>
      <w:r>
        <w:rPr>
          <w:rFonts w:ascii="Calibri"/>
          <w:color w:val="000000"/>
          <w:sz w:val="24"/>
          <w:szCs w:val="24"/>
        </w:rPr>
        <w:t xml:space="preserve">The current rate limiting is a flat 100 requests per minute per tenant applied at the API Gateway level. This does not differentiate between read operations (GET requests that are cheap) and write operations (POST/PATCH requests that trigger agent workloads and consume LLM tokens). A tenant could consume their entire rate limit on dashboard read queries, preventing audit creation. Conversely, a tenant could flood the system with audit creation requests, each of which spawns 15 agents and consumes significant resources. The current design also lacks per-agent rate limiting within an audit session, meaning a single runaway agent could consume disproportionate LLM API calls.</w:t>
      </w:r>
    </w:p>
    <w:p>
      <w:pPr>
        <w:spacing w:after="120" w:before="240"/>
      </w:pPr>
      <w:r>
        <w:rPr>
          <w:rFonts w:ascii="Calibri"/>
          <w:b/>
          <w:bCs/>
          <w:color w:val="0A1628"/>
          <w:sz w:val="24"/>
          <w:szCs w:val="24"/>
        </w:rPr>
        <w:t xml:space="preserve">Mitigation Approach</w:t>
      </w:r>
    </w:p>
    <w:p>
      <w:pPr>
        <w:spacing w:after="120" w:line="312"/>
      </w:pPr>
      <w:r>
        <w:rPr>
          <w:rFonts w:ascii="Calibri"/>
          <w:color w:val="000000"/>
          <w:sz w:val="24"/>
          <w:szCs w:val="24"/>
        </w:rPr>
        <w:t xml:space="preserve">Implement tiered rate limiting with separate quotas for read and write operations. Default quotas: 200 read requests per minute, 20 write requests per minute per tenant. Additionally, implement per-agent LLM call rate limiting within each audit session: each agent is limited to 10 LLM calls per minute, configurable in agent_config. Implement a priority queue for write operations so that if the rate limit is reached, higher-priority operations (Salvation Protocol triggers, critical finding updates) are processed before lower-priority ones (new audit creation). Rate limit counters are stored in Durable Object storage for atomicity and shared across Worker instances.</w:t>
      </w:r>
    </w:p>
    <w:p>
      <w:pPr>
        <w:spacing w:after="120" w:before="240"/>
      </w:pPr>
      <w:r>
        <w:rPr>
          <w:rFonts w:ascii="Calibri"/>
          <w:b/>
          <w:bCs/>
          <w:color w:val="0A1628"/>
          <w:sz w:val="24"/>
          <w:szCs w:val="24"/>
        </w:rPr>
        <w:t xml:space="preserve">Acceptance Criteria</w:t>
      </w:r>
    </w:p>
    <w:p>
      <w:pPr>
        <w:spacing w:after="120" w:line="312"/>
      </w:pPr>
      <w:r>
        <w:rPr>
          <w:rFonts w:ascii="Calibri"/>
          <w:color w:val="000000"/>
          <w:sz w:val="24"/>
          <w:szCs w:val="24"/>
        </w:rPr>
        <w:t xml:space="preserve">(1) Read and write rate limits should be independently enforced. (2) A burst of 25 write requests within 1 minute should result in exactly 20 being processed and 5 being queued or rejected. (3) Per-agent LLM call rate limiting should throttle a runaway agent within 60 seconds. (4) Priority queue should ensure Salvation Protocol triggers are never rate-limited.</w:t>
      </w:r>
    </w:p>
    <w:p>
      <w:pPr>
        <w:pStyle w:val="Heading2"/>
        <w:spacing w:after="160" w:before="300"/>
      </w:pPr>
      <w:r>
        <w:rPr>
          <w:rFonts w:ascii="Calibri"/>
          <w:b/>
          <w:bCs/>
          <w:color w:val="0A1628"/>
          <w:sz w:val="28"/>
          <w:szCs w:val="28"/>
        </w:rPr>
        <w:t xml:space="preserve">GAP-008: 128MB Memory Limit</w:t>
      </w:r>
    </w:p>
    <w:p>
      <w:pPr>
        <w:spacing w:after="120" w:before="240"/>
      </w:pPr>
      <w:r>
        <w:rPr>
          <w:rFonts w:ascii="Calibri"/>
          <w:b/>
          <w:bCs/>
          <w:color w:val="0A1628"/>
          <w:sz w:val="24"/>
          <w:szCs w:val="24"/>
        </w:rPr>
        <w:t xml:space="preserve">Root Cause</w:t>
      </w:r>
    </w:p>
    <w:p>
      <w:pPr>
        <w:spacing w:after="120" w:line="312"/>
      </w:pPr>
      <w:r>
        <w:rPr>
          <w:rFonts w:ascii="Calibri"/>
          <w:color w:val="000000"/>
          <w:sz w:val="24"/>
          <w:szCs w:val="24"/>
        </w:rPr>
        <w:t xml:space="preserve">Cloudflare Workers have a hard 128MB memory limit per isolate that cannot be increased. This constrains the amount of context an agent can accumulate in memory during analysis. For files with complex dependency graphs or large analysis results, the agent may approach this limit. The memory limit applies to the total heap allocation, including the file chunk content, the LLM response, the analysis state, and any intermediate data structures. If the limit is exceeded, the Worker crashes and the Durable Object is restarted, potentially losing in-memory analysis state.</w:t>
      </w:r>
    </w:p>
    <w:p>
      <w:pPr>
        <w:spacing w:after="120" w:before="240"/>
      </w:pPr>
      <w:r>
        <w:rPr>
          <w:rFonts w:ascii="Calibri"/>
          <w:b/>
          <w:bCs/>
          <w:color w:val="0A1628"/>
          <w:sz w:val="24"/>
          <w:szCs w:val="24"/>
        </w:rPr>
        <w:t xml:space="preserve">Mitigation Approach</w:t>
      </w:r>
    </w:p>
    <w:p>
      <w:pPr>
        <w:spacing w:after="120" w:line="312"/>
      </w:pPr>
      <w:r>
        <w:rPr>
          <w:rFonts w:ascii="Calibri"/>
          <w:color w:val="000000"/>
          <w:sz w:val="24"/>
          <w:szCs w:val="24"/>
        </w:rPr>
        <w:t xml:space="preserve">Design all agents to be stateless between ReAct loop iterations: at the end of each iteration, flush analysis results and intermediate state to Durable Object SQLite storage. Only the current file chunk and the current LLM response need to be in memory at any time. Implement a memory monitoring function that checks process.memoryUsage() before each LLM call and triggers an early checkpoint if usage exceeds 100MB. If a Worker does crash due to memory, the Durable Object restart mechanism resumes from the last checkpoint. Additionally, file chunks are already limited to 500 lines, which typically consume 20-50KB of memory, leaving ample headroom for analysis logic.</w:t>
      </w:r>
    </w:p>
    <w:p>
      <w:pPr>
        <w:spacing w:after="120" w:before="240"/>
      </w:pPr>
      <w:r>
        <w:rPr>
          <w:rFonts w:ascii="Calibri"/>
          <w:b/>
          <w:bCs/>
          <w:color w:val="0A1628"/>
          <w:sz w:val="24"/>
          <w:szCs w:val="24"/>
        </w:rPr>
        <w:t xml:space="preserve">Acceptance Criteria</w:t>
      </w:r>
    </w:p>
    <w:p>
      <w:pPr>
        <w:spacing w:after="120" w:line="312"/>
      </w:pPr>
      <w:r>
        <w:rPr>
          <w:rFonts w:ascii="Calibri"/>
          <w:color w:val="000000"/>
          <w:sz w:val="24"/>
          <w:szCs w:val="24"/>
        </w:rPr>
        <w:t xml:space="preserve">(1) No agent should consume more than 80MB of heap memory during normal operation. (2) Memory monitoring should trigger a checkpoint before reaching 100MB. (3) A simulated memory-constrained environment (100MB limit) should not cause any data loss. (4) Post-crash recovery should restore the agent to its exact pre-crash state.</w:t>
      </w:r>
    </w:p>
    <w:p>
      <w:pPr>
        <w:pStyle w:val="Heading1"/>
        <w:spacing w:after="200" w:before="400"/>
      </w:pPr>
      <w:r>
        <w:rPr>
          <w:rFonts w:ascii="Calibri"/>
          <w:b/>
          <w:bCs/>
          <w:color w:val="0A1628"/>
          <w:sz w:val="32"/>
          <w:szCs w:val="32"/>
        </w:rPr>
        <w:t xml:space="preserve">3. Gap Lifecycle Summary</w:t>
      </w:r>
    </w:p>
    <w:p>
      <w:pPr>
        <w:spacing w:after="120" w:line="312"/>
      </w:pPr>
      <w:r>
        <w:rPr>
          <w:rFonts w:ascii="Calibri"/>
          <w:color w:val="000000"/>
          <w:sz w:val="24"/>
          <w:szCs w:val="24"/>
        </w:rPr>
        <w:t xml:space="preserve">The following table provides a consolidated view of all identified gaps, their severity, detection phase, current status, and target resolution phase. Each gap was detected during the architecture design phase (Phase 2) and will be resolved across the implementation phases (Phases 3-5). Gaps marked as 'Resolved by Design' have mitigation approaches that are part of the core architecture. Gaps marked as 'Phased Implementation' require additional development effort beyond the initial release.</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tblGrid>
      <w:tr>
        <w:tc>
          <w:tcPr>
            <w:tcW w:type="dxa" w:w="1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Gap ID</w:t>
            </w:r>
          </w:p>
        </w:tc>
        <w:tc>
          <w:tcPr>
            <w:tcW w:type="dxa" w:w="1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Title</w:t>
            </w:r>
          </w:p>
        </w:tc>
        <w:tc>
          <w:tcPr>
            <w:tcW w:type="dxa" w:w="1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Severity</w:t>
            </w:r>
          </w:p>
        </w:tc>
        <w:tc>
          <w:tcPr>
            <w:tcW w:type="dxa" w:w="1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Status</w:t>
            </w:r>
          </w:p>
        </w:tc>
        <w:tc>
          <w:tcPr>
            <w:tcW w:type="dxa" w:w="1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Target Phase</w:t>
            </w:r>
          </w:p>
        </w:tc>
      </w:tr>
      <w:tr>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GAP-001</w:t>
            </w:r>
          </w:p>
        </w:tc>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Git Diff Ingestion Missing</w:t>
            </w:r>
          </w:p>
        </w:tc>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High</w:t>
            </w:r>
          </w:p>
        </w:tc>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Phased Implementation</w:t>
            </w:r>
          </w:p>
        </w:tc>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Phase 3</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GAP-002</w:t>
            </w:r>
          </w:p>
        </w:tc>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Agent Cold-Start Latency</w:t>
            </w:r>
          </w:p>
        </w:tc>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Medium</w:t>
            </w:r>
          </w:p>
        </w:tc>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Resolved by Design</w:t>
            </w:r>
          </w:p>
        </w:tc>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Phase 3</w:t>
            </w:r>
          </w:p>
        </w:tc>
      </w:tr>
      <w:tr>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GAP-003</w:t>
            </w:r>
          </w:p>
        </w:tc>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Environment Simulation Absent</w:t>
            </w:r>
          </w:p>
        </w:tc>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High</w:t>
            </w:r>
          </w:p>
        </w:tc>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Phased Implementation</w:t>
            </w:r>
          </w:p>
        </w:tc>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Phase 4</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GAP-004</w:t>
            </w:r>
          </w:p>
        </w:tc>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Multi-Repository Support</w:t>
            </w:r>
          </w:p>
        </w:tc>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Medium</w:t>
            </w:r>
          </w:p>
        </w:tc>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Phased Implementation</w:t>
            </w:r>
          </w:p>
        </w:tc>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Phase 4</w:t>
            </w:r>
          </w:p>
        </w:tc>
      </w:tr>
      <w:tr>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GAP-005</w:t>
            </w:r>
          </w:p>
        </w:tc>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Token Budget Enforcement</w:t>
            </w:r>
          </w:p>
        </w:tc>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High</w:t>
            </w:r>
          </w:p>
        </w:tc>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Resolved by Design</w:t>
            </w:r>
          </w:p>
        </w:tc>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Phase 3</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GAP-006</w:t>
            </w:r>
          </w:p>
        </w:tc>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Secrets Redaction Depth</w:t>
            </w:r>
          </w:p>
        </w:tc>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Critical</w:t>
            </w:r>
          </w:p>
        </w:tc>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Resolved by Design</w:t>
            </w:r>
          </w:p>
        </w:tc>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Phase 3</w:t>
            </w:r>
          </w:p>
        </w:tc>
      </w:tr>
      <w:tr>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GAP-007</w:t>
            </w:r>
          </w:p>
        </w:tc>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Rate Limiting Granularity</w:t>
            </w:r>
          </w:p>
        </w:tc>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Medium</w:t>
            </w:r>
          </w:p>
        </w:tc>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Resolved by Design</w:t>
            </w:r>
          </w:p>
        </w:tc>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Phase 3</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GAP-008</w:t>
            </w:r>
          </w:p>
        </w:tc>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128MB Memory Limit</w:t>
            </w:r>
          </w:p>
        </w:tc>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High</w:t>
            </w:r>
          </w:p>
        </w:tc>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Resolved by Design</w:t>
            </w:r>
          </w:p>
        </w:tc>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Phase 3</w:t>
            </w:r>
          </w:p>
        </w:tc>
      </w:tr>
    </w:tbl>
    <w:p>
      <w:pPr>
        <w:spacing w:before="120"/>
      </w:pPr>
    </w:p>
    <w:sectPr>
      <w:headerReference w:type="default" r:id="rId7"/>
      <w:footerReference w:type="default" r:id="rId8"/>
      <w:type w:val="nextPage"/>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06070"/>
        <w:sz w:val="16"/>
        <w:szCs w:val="16"/>
      </w:rPr>
      <w:t xml:space="preserve">CONFIDENTIAL</w:t>
    </w:r>
    <w:r>
      <w:t xml:space="preserve">                              </w:t>
    </w:r>
    <w:r>
      <w:rPr>
        <w:rFonts w:ascii="Calibri"/>
        <w:color w:val="506070"/>
        <w:sz w:val="16"/>
        <w:szCs w:val="16"/>
      </w:rPr>
      <w:t xml:space="preserve">Anti-Hallucination AI Audit Platform</w:t>
    </w:r>
    <w:r>
      <w:rPr>
        <w:rFonts w:ascii="Calibri"/>
        <w:color w:val="506070"/>
        <w:sz w:val="16"/>
        <w:szCs w:val="16"/>
      </w:rPr>
      <w:t xml:space="preserve">          Page </w:t>
    </w:r>
    <w:r>
      <w:rPr>
        <w:rFonts w:ascii="Calibri"/>
        <w:color w:val="5060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9286" w:sz="1" w:space="4"/>
      </w:pBdr>
      <w:jc w:val="right"/>
    </w:pPr>
    <w:r>
      <w:rPr>
        <w:rFonts w:ascii="Calibri"/>
        <w:color w:val="506070"/>
        <w:sz w:val="16"/>
        <w:szCs w:val="16"/>
      </w:rPr>
      <w:t xml:space="preserve">Gap Analysis v1.0 | Multi-Agent AI Audit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b/>
      <w:bCs/>
      <w:color w:val="0A1628"/>
      <w:sz w:val="32"/>
      <w:szCs w:val="32"/>
    </w:rPr>
  </w:style>
  <w:style w:type="paragraph" w:styleId="Heading2">
    <w:name w:val="Heading 2"/>
    <w:basedOn w:val="Normal"/>
    <w:next w:val="Normal"/>
    <w:qFormat/>
    <w:rPr>
      <w:rFonts w:ascii="Calibri"/>
      <w:b/>
      <w:bCs/>
      <w:color w:val="0A1628"/>
      <w:sz w:val="28"/>
      <w:szCs w:val="28"/>
    </w:rPr>
  </w:style>
  <w:style w:type="paragraph" w:styleId="Heading3">
    <w:name w:val="Heading 3"/>
    <w:basedOn w:val="Normal"/>
    <w:next w:val="Normal"/>
    <w:qFormat/>
    <w:rPr>
      <w:rFonts w:ascii="Calibri"/>
      <w:b/>
      <w:bCs/>
      <w:color w:val="0A162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2026-08-03T21:26:32.852Z</dcterms:created>
  <dcterms:modified xsi:type="dcterms:W3CDTF">2026-08-03T21:26:32.852Z</dcterms:modified>
</cp:coreProperties>
</file>

<file path=docProps/custom.xml><?xml version="1.0" encoding="utf-8"?>
<Properties xmlns="http://schemas.openxmlformats.org/officeDocument/2006/custom-properties" xmlns:vt="http://schemas.openxmlformats.org/officeDocument/2006/docPropsVTypes"/>
</file>