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7573" w14:textId="77777777" w:rsidR="00117DDA" w:rsidRDefault="00117DDA" w:rsidP="00117DDA">
      <w:pPr>
        <w:rPr>
          <w:b/>
        </w:rPr>
      </w:pPr>
      <w:r>
        <w:rPr>
          <w:b/>
        </w:rPr>
        <w:t>A modelling tool for capacity planning in acute and community stroke services</w:t>
      </w:r>
    </w:p>
    <w:p w14:paraId="7569B123" w14:textId="77777777" w:rsidR="00117DDA" w:rsidRPr="00341CB7" w:rsidRDefault="00117DDA" w:rsidP="00117DDA">
      <w:r>
        <w:t>Monks T</w:t>
      </w:r>
      <w:r w:rsidRPr="00BB3726">
        <w:rPr>
          <w:vertAlign w:val="superscript"/>
        </w:rPr>
        <w:t>a</w:t>
      </w:r>
      <w:r>
        <w:t>, Worthington D</w:t>
      </w:r>
      <w:r w:rsidRPr="00BB3726">
        <w:rPr>
          <w:vertAlign w:val="superscript"/>
        </w:rPr>
        <w:t>b</w:t>
      </w:r>
      <w:r>
        <w:t>, Allen M</w:t>
      </w:r>
      <w:r w:rsidRPr="00BB3726">
        <w:rPr>
          <w:vertAlign w:val="superscript"/>
        </w:rPr>
        <w:t>c</w:t>
      </w:r>
      <w:r>
        <w:t xml:space="preserve">, </w:t>
      </w:r>
      <w:r w:rsidRPr="00341CB7">
        <w:t>Pitt M</w:t>
      </w:r>
      <w:r w:rsidRPr="00BB3726">
        <w:rPr>
          <w:vertAlign w:val="superscript"/>
        </w:rPr>
        <w:t>c</w:t>
      </w:r>
      <w:r w:rsidRPr="00341CB7">
        <w:t>, Stein K</w:t>
      </w:r>
      <w:r w:rsidRPr="00BB3726">
        <w:rPr>
          <w:vertAlign w:val="superscript"/>
        </w:rPr>
        <w:t>c</w:t>
      </w:r>
      <w:r w:rsidRPr="00341CB7">
        <w:t xml:space="preserve">, </w:t>
      </w:r>
      <w:r w:rsidRPr="00206EF3">
        <w:t>and James M</w:t>
      </w:r>
      <w:r w:rsidRPr="00206EF3">
        <w:rPr>
          <w:vertAlign w:val="superscript"/>
        </w:rPr>
        <w:t>c</w:t>
      </w:r>
      <w:r>
        <w:t>.</w:t>
      </w:r>
    </w:p>
    <w:p w14:paraId="72BD8F5C" w14:textId="77777777" w:rsidR="00117DDA" w:rsidRDefault="00117DDA" w:rsidP="00117DDA">
      <w:pPr>
        <w:spacing w:after="0" w:line="360" w:lineRule="auto"/>
        <w:rPr>
          <w:rFonts w:cstheme="minorHAnsi"/>
        </w:rPr>
      </w:pPr>
      <w:proofErr w:type="spellStart"/>
      <w:proofErr w:type="gramStart"/>
      <w:r w:rsidRPr="00BB3726">
        <w:rPr>
          <w:rFonts w:cstheme="minorHAnsi"/>
          <w:vertAlign w:val="superscript"/>
        </w:rPr>
        <w:t>a</w:t>
      </w:r>
      <w:r>
        <w:rPr>
          <w:rFonts w:cstheme="minorHAnsi"/>
        </w:rPr>
        <w:t>NIHR</w:t>
      </w:r>
      <w:proofErr w:type="spellEnd"/>
      <w:proofErr w:type="gramEnd"/>
      <w:r>
        <w:rPr>
          <w:rFonts w:cstheme="minorHAnsi"/>
        </w:rPr>
        <w:t xml:space="preserve"> CLAHRC Wessex</w:t>
      </w:r>
    </w:p>
    <w:p w14:paraId="6D31C22B" w14:textId="77777777" w:rsidR="00117DDA" w:rsidRPr="00264D3E" w:rsidRDefault="00117DDA" w:rsidP="00117DDA">
      <w:pPr>
        <w:spacing w:after="0" w:line="360" w:lineRule="auto"/>
        <w:rPr>
          <w:rFonts w:cstheme="minorHAnsi"/>
        </w:rPr>
      </w:pPr>
      <w:r>
        <w:rPr>
          <w:rFonts w:cstheme="minorHAnsi"/>
        </w:rPr>
        <w:t>Faculty of Health Sciences</w:t>
      </w:r>
    </w:p>
    <w:p w14:paraId="28F2CE4E" w14:textId="77777777" w:rsidR="00117DDA" w:rsidRPr="00264D3E" w:rsidRDefault="00117DDA" w:rsidP="00117DDA">
      <w:pPr>
        <w:spacing w:after="0" w:line="360" w:lineRule="auto"/>
        <w:rPr>
          <w:rFonts w:cstheme="minorHAnsi"/>
        </w:rPr>
      </w:pPr>
      <w:r>
        <w:rPr>
          <w:rFonts w:cstheme="minorHAnsi"/>
        </w:rPr>
        <w:t>University of Southampton</w:t>
      </w:r>
    </w:p>
    <w:p w14:paraId="05E1425B" w14:textId="77777777" w:rsidR="00117DDA" w:rsidRDefault="00117DDA" w:rsidP="00117DDA">
      <w:pPr>
        <w:spacing w:after="0" w:line="360" w:lineRule="auto"/>
        <w:rPr>
          <w:rFonts w:cstheme="minorHAnsi"/>
        </w:rPr>
      </w:pPr>
      <w:r>
        <w:rPr>
          <w:rFonts w:cstheme="minorHAnsi"/>
        </w:rPr>
        <w:t>Southampton</w:t>
      </w:r>
    </w:p>
    <w:p w14:paraId="2DBB637E" w14:textId="77777777" w:rsidR="00117DDA" w:rsidRPr="002A4E99" w:rsidRDefault="00117DDA" w:rsidP="00117DDA">
      <w:pPr>
        <w:spacing w:after="0" w:line="360" w:lineRule="auto"/>
        <w:rPr>
          <w:rFonts w:cstheme="minorHAnsi"/>
        </w:rPr>
      </w:pPr>
      <w:r w:rsidRPr="002A4E99">
        <w:rPr>
          <w:rFonts w:cstheme="minorHAnsi"/>
        </w:rPr>
        <w:t>SO17 1BJ</w:t>
      </w:r>
    </w:p>
    <w:p w14:paraId="08E4A8BA" w14:textId="77777777" w:rsidR="00117DDA" w:rsidRPr="00264D3E" w:rsidRDefault="00117DDA" w:rsidP="00117DDA">
      <w:pPr>
        <w:spacing w:after="0" w:line="360" w:lineRule="auto"/>
        <w:rPr>
          <w:rFonts w:cstheme="minorHAnsi"/>
        </w:rPr>
      </w:pPr>
      <w:r w:rsidRPr="00264D3E">
        <w:rPr>
          <w:rFonts w:cstheme="minorHAnsi"/>
        </w:rPr>
        <w:t>UK</w:t>
      </w:r>
    </w:p>
    <w:p w14:paraId="472993C7" w14:textId="77777777" w:rsidR="00117DDA" w:rsidRDefault="00FD2B85" w:rsidP="00117DDA">
      <w:pPr>
        <w:spacing w:after="0" w:line="360" w:lineRule="auto"/>
        <w:rPr>
          <w:rFonts w:cstheme="minorHAnsi"/>
        </w:rPr>
      </w:pPr>
      <w:hyperlink r:id="rId6" w:history="1">
        <w:r w:rsidR="00117DDA" w:rsidRPr="00BA4ED7">
          <w:rPr>
            <w:rStyle w:val="Hyperlink"/>
            <w:rFonts w:cstheme="minorHAnsi"/>
          </w:rPr>
          <w:t>thomas.monks@soton.ac.uk</w:t>
        </w:r>
      </w:hyperlink>
      <w:r w:rsidR="00117DDA">
        <w:rPr>
          <w:rFonts w:cstheme="minorHAnsi"/>
        </w:rPr>
        <w:t xml:space="preserve"> </w:t>
      </w:r>
    </w:p>
    <w:p w14:paraId="21171994" w14:textId="77777777" w:rsidR="00117DDA" w:rsidRDefault="00117DDA" w:rsidP="00117DDA">
      <w:pPr>
        <w:spacing w:after="0" w:line="360" w:lineRule="auto"/>
        <w:rPr>
          <w:rFonts w:cstheme="minorHAnsi"/>
        </w:rPr>
      </w:pPr>
    </w:p>
    <w:p w14:paraId="0E3D05E8" w14:textId="77777777" w:rsidR="00117DDA" w:rsidRDefault="00117DDA" w:rsidP="00117DDA">
      <w:pPr>
        <w:spacing w:after="0" w:line="360" w:lineRule="auto"/>
        <w:rPr>
          <w:rFonts w:cstheme="minorHAnsi"/>
        </w:rPr>
      </w:pPr>
      <w:proofErr w:type="spellStart"/>
      <w:proofErr w:type="gramStart"/>
      <w:r w:rsidRPr="00BB3726">
        <w:rPr>
          <w:rFonts w:cstheme="minorHAnsi"/>
          <w:vertAlign w:val="superscript"/>
        </w:rPr>
        <w:t>b</w:t>
      </w:r>
      <w:r>
        <w:rPr>
          <w:rFonts w:cstheme="minorHAnsi"/>
        </w:rPr>
        <w:t>Lancaster</w:t>
      </w:r>
      <w:proofErr w:type="spellEnd"/>
      <w:proofErr w:type="gramEnd"/>
      <w:r>
        <w:rPr>
          <w:rFonts w:cstheme="minorHAnsi"/>
        </w:rPr>
        <w:t xml:space="preserve"> University Management School</w:t>
      </w:r>
    </w:p>
    <w:p w14:paraId="56183F2A" w14:textId="77777777" w:rsidR="00117DDA" w:rsidRDefault="00117DDA" w:rsidP="00117DDA">
      <w:pPr>
        <w:spacing w:after="0" w:line="360" w:lineRule="auto"/>
        <w:rPr>
          <w:rFonts w:cstheme="minorHAnsi"/>
        </w:rPr>
      </w:pPr>
      <w:r>
        <w:rPr>
          <w:rFonts w:cstheme="minorHAnsi"/>
        </w:rPr>
        <w:t>Lancaster University</w:t>
      </w:r>
    </w:p>
    <w:p w14:paraId="7B3C1CB3" w14:textId="77777777" w:rsidR="00117DDA" w:rsidRPr="00117DDA" w:rsidRDefault="00117DDA" w:rsidP="00117DDA">
      <w:pPr>
        <w:spacing w:after="0" w:line="360" w:lineRule="auto"/>
        <w:rPr>
          <w:rFonts w:cstheme="minorHAnsi"/>
          <w:lang w:val="it-IT"/>
        </w:rPr>
      </w:pPr>
      <w:r w:rsidRPr="00117DDA">
        <w:rPr>
          <w:rFonts w:cstheme="minorHAnsi"/>
          <w:lang w:val="it-IT"/>
        </w:rPr>
        <w:t>Lancaster</w:t>
      </w:r>
    </w:p>
    <w:p w14:paraId="4C25F530" w14:textId="77777777" w:rsidR="00117DDA" w:rsidRPr="00117DDA" w:rsidRDefault="00117DDA" w:rsidP="00117DDA">
      <w:pPr>
        <w:spacing w:after="0" w:line="360" w:lineRule="auto"/>
        <w:rPr>
          <w:rFonts w:cstheme="minorHAnsi"/>
          <w:lang w:val="it-IT"/>
        </w:rPr>
      </w:pPr>
      <w:r w:rsidRPr="00117DDA">
        <w:rPr>
          <w:rFonts w:cstheme="minorHAnsi"/>
          <w:lang w:val="it-IT"/>
        </w:rPr>
        <w:t>LA1 4YX</w:t>
      </w:r>
    </w:p>
    <w:p w14:paraId="673C1D82" w14:textId="77777777" w:rsidR="00117DDA" w:rsidRPr="00117DDA" w:rsidRDefault="00117DDA" w:rsidP="00117DDA">
      <w:pPr>
        <w:spacing w:after="0" w:line="360" w:lineRule="auto"/>
        <w:rPr>
          <w:rFonts w:cstheme="minorHAnsi"/>
          <w:lang w:val="it-IT"/>
        </w:rPr>
      </w:pPr>
      <w:r w:rsidRPr="00117DDA">
        <w:rPr>
          <w:rFonts w:cstheme="minorHAnsi"/>
          <w:lang w:val="it-IT"/>
        </w:rPr>
        <w:t>UK</w:t>
      </w:r>
    </w:p>
    <w:p w14:paraId="0844F3B9" w14:textId="77777777" w:rsidR="00117DDA" w:rsidRPr="00FD2B85" w:rsidRDefault="00FD2B85" w:rsidP="00117DDA">
      <w:pPr>
        <w:spacing w:after="0" w:line="360" w:lineRule="auto"/>
        <w:rPr>
          <w:rFonts w:cstheme="minorHAnsi"/>
          <w:lang w:val="it-IT"/>
        </w:rPr>
      </w:pPr>
      <w:hyperlink r:id="rId7" w:history="1">
        <w:r w:rsidR="00117DDA" w:rsidRPr="00FD2B85">
          <w:rPr>
            <w:rStyle w:val="Hyperlink"/>
            <w:rFonts w:cstheme="minorHAnsi"/>
            <w:lang w:val="it-IT"/>
          </w:rPr>
          <w:t>d.worthington@lancaster.ac.uk</w:t>
        </w:r>
      </w:hyperlink>
      <w:r w:rsidR="00117DDA" w:rsidRPr="00FD2B85">
        <w:rPr>
          <w:rFonts w:cstheme="minorHAnsi"/>
          <w:lang w:val="it-IT"/>
        </w:rPr>
        <w:t xml:space="preserve"> </w:t>
      </w:r>
    </w:p>
    <w:p w14:paraId="5846BE79" w14:textId="77777777" w:rsidR="00117DDA" w:rsidRPr="00FD2B85" w:rsidRDefault="00117DDA" w:rsidP="00117DDA">
      <w:pPr>
        <w:spacing w:after="0" w:line="360" w:lineRule="auto"/>
        <w:rPr>
          <w:rFonts w:cstheme="minorHAnsi"/>
          <w:lang w:val="it-IT"/>
        </w:rPr>
      </w:pPr>
    </w:p>
    <w:p w14:paraId="2D05FFA0" w14:textId="77777777" w:rsidR="00117DDA" w:rsidRDefault="00117DDA" w:rsidP="00117DDA">
      <w:pPr>
        <w:spacing w:after="0" w:line="360" w:lineRule="auto"/>
        <w:rPr>
          <w:rFonts w:cstheme="minorHAnsi"/>
        </w:rPr>
      </w:pPr>
      <w:proofErr w:type="spellStart"/>
      <w:proofErr w:type="gramStart"/>
      <w:r w:rsidRPr="0096016C">
        <w:rPr>
          <w:rFonts w:cstheme="minorHAnsi"/>
          <w:vertAlign w:val="superscript"/>
        </w:rPr>
        <w:t>c</w:t>
      </w:r>
      <w:r>
        <w:rPr>
          <w:rFonts w:cstheme="minorHAnsi"/>
        </w:rPr>
        <w:t>NIHR</w:t>
      </w:r>
      <w:proofErr w:type="spellEnd"/>
      <w:proofErr w:type="gramEnd"/>
      <w:r>
        <w:rPr>
          <w:rFonts w:cstheme="minorHAnsi"/>
        </w:rPr>
        <w:t xml:space="preserve"> CLAHRC South West Peninsula</w:t>
      </w:r>
    </w:p>
    <w:p w14:paraId="5A2C6488" w14:textId="77777777" w:rsidR="00117DDA" w:rsidRPr="00264D3E" w:rsidRDefault="00117DDA" w:rsidP="00117DDA">
      <w:pPr>
        <w:spacing w:after="0" w:line="360" w:lineRule="auto"/>
        <w:rPr>
          <w:rFonts w:cstheme="minorHAnsi"/>
        </w:rPr>
      </w:pPr>
      <w:r w:rsidRPr="00264D3E">
        <w:rPr>
          <w:rFonts w:cstheme="minorHAnsi"/>
        </w:rPr>
        <w:t>University of Exeter Medical School</w:t>
      </w:r>
    </w:p>
    <w:p w14:paraId="74199337" w14:textId="77777777" w:rsidR="00117DDA" w:rsidRPr="00264D3E" w:rsidRDefault="00117DDA" w:rsidP="00117DDA">
      <w:pPr>
        <w:spacing w:after="0" w:line="360" w:lineRule="auto"/>
        <w:rPr>
          <w:rFonts w:cstheme="minorHAnsi"/>
        </w:rPr>
      </w:pPr>
      <w:r w:rsidRPr="00264D3E">
        <w:rPr>
          <w:rFonts w:cstheme="minorHAnsi"/>
        </w:rPr>
        <w:t>University of Exeter</w:t>
      </w:r>
    </w:p>
    <w:p w14:paraId="14318EB5" w14:textId="77777777" w:rsidR="00117DDA" w:rsidRPr="00FD2B85" w:rsidRDefault="00117DDA" w:rsidP="00117DDA">
      <w:pPr>
        <w:spacing w:after="0" w:line="360" w:lineRule="auto"/>
        <w:rPr>
          <w:rFonts w:cstheme="minorHAnsi"/>
        </w:rPr>
      </w:pPr>
      <w:r w:rsidRPr="00FD2B85">
        <w:rPr>
          <w:rFonts w:cstheme="minorHAnsi"/>
        </w:rPr>
        <w:t>Exeter</w:t>
      </w:r>
    </w:p>
    <w:p w14:paraId="4C3C749E" w14:textId="77777777" w:rsidR="00117DDA" w:rsidRPr="00FD2B85" w:rsidRDefault="00117DDA" w:rsidP="00117DDA">
      <w:pPr>
        <w:spacing w:after="0" w:line="360" w:lineRule="auto"/>
        <w:rPr>
          <w:rFonts w:cstheme="minorHAnsi"/>
        </w:rPr>
      </w:pPr>
      <w:r w:rsidRPr="00FD2B85">
        <w:rPr>
          <w:rFonts w:cstheme="minorHAnsi"/>
        </w:rPr>
        <w:t>EX1 2LU</w:t>
      </w:r>
    </w:p>
    <w:p w14:paraId="4652BA73" w14:textId="77777777" w:rsidR="00117DDA" w:rsidRPr="00FD2B85" w:rsidRDefault="00117DDA" w:rsidP="00117DDA">
      <w:pPr>
        <w:spacing w:after="0" w:line="360" w:lineRule="auto"/>
        <w:rPr>
          <w:rFonts w:cstheme="minorHAnsi"/>
        </w:rPr>
      </w:pPr>
      <w:r w:rsidRPr="00FD2B85">
        <w:rPr>
          <w:rFonts w:cstheme="minorHAnsi"/>
        </w:rPr>
        <w:t>UK</w:t>
      </w:r>
    </w:p>
    <w:p w14:paraId="6EC79A94" w14:textId="77777777" w:rsidR="00117DDA" w:rsidRPr="00FD2B85" w:rsidRDefault="00FD2B85" w:rsidP="00117DDA">
      <w:pPr>
        <w:spacing w:after="0" w:line="360" w:lineRule="auto"/>
        <w:rPr>
          <w:rFonts w:cstheme="minorHAnsi"/>
        </w:rPr>
      </w:pPr>
      <w:hyperlink r:id="rId8" w:history="1">
        <w:r w:rsidR="00117DDA" w:rsidRPr="00FD2B85">
          <w:rPr>
            <w:rStyle w:val="Hyperlink"/>
            <w:rFonts w:cstheme="minorHAnsi"/>
          </w:rPr>
          <w:t>m.allen@exeter.ac.uk</w:t>
        </w:r>
      </w:hyperlink>
      <w:r w:rsidR="00117DDA" w:rsidRPr="00FD2B85">
        <w:rPr>
          <w:rFonts w:cstheme="minorHAnsi"/>
        </w:rPr>
        <w:t xml:space="preserve"> </w:t>
      </w:r>
    </w:p>
    <w:p w14:paraId="7A820092" w14:textId="77777777" w:rsidR="00117DDA" w:rsidRPr="00FD2B85" w:rsidRDefault="00FD2B85" w:rsidP="00117DDA">
      <w:pPr>
        <w:spacing w:after="0" w:line="360" w:lineRule="auto"/>
        <w:rPr>
          <w:rFonts w:cstheme="minorHAnsi"/>
        </w:rPr>
      </w:pPr>
      <w:hyperlink r:id="rId9" w:history="1">
        <w:r w:rsidR="00117DDA" w:rsidRPr="00FD2B85">
          <w:rPr>
            <w:rStyle w:val="Hyperlink"/>
            <w:rFonts w:cstheme="minorHAnsi"/>
          </w:rPr>
          <w:t>m.pitt@exeter.ac.uk</w:t>
        </w:r>
      </w:hyperlink>
      <w:r w:rsidR="00117DDA" w:rsidRPr="00FD2B85">
        <w:rPr>
          <w:rFonts w:cstheme="minorHAnsi"/>
        </w:rPr>
        <w:t xml:space="preserve"> </w:t>
      </w:r>
    </w:p>
    <w:p w14:paraId="685CD4F3" w14:textId="77777777" w:rsidR="00117DDA" w:rsidRPr="00FD2B85" w:rsidRDefault="00FD2B85" w:rsidP="00117DDA">
      <w:pPr>
        <w:spacing w:after="0" w:line="360" w:lineRule="auto"/>
        <w:rPr>
          <w:rFonts w:cstheme="minorHAnsi"/>
        </w:rPr>
      </w:pPr>
      <w:hyperlink r:id="rId10" w:history="1">
        <w:r w:rsidR="00117DDA" w:rsidRPr="00FD2B85">
          <w:rPr>
            <w:rStyle w:val="Hyperlink"/>
            <w:rFonts w:cstheme="minorHAnsi"/>
          </w:rPr>
          <w:t>Ken.Stein@exeter.ac.uk</w:t>
        </w:r>
      </w:hyperlink>
      <w:r w:rsidR="00117DDA" w:rsidRPr="00FD2B85">
        <w:rPr>
          <w:rFonts w:cstheme="minorHAnsi"/>
        </w:rPr>
        <w:t xml:space="preserve"> </w:t>
      </w:r>
    </w:p>
    <w:p w14:paraId="4C626E7B" w14:textId="77777777" w:rsidR="00117DDA" w:rsidRDefault="00FD2B85" w:rsidP="00117DDA">
      <w:pPr>
        <w:spacing w:after="0" w:line="360" w:lineRule="auto"/>
        <w:rPr>
          <w:rFonts w:cstheme="minorHAnsi"/>
        </w:rPr>
      </w:pPr>
      <w:hyperlink r:id="rId11" w:history="1">
        <w:r w:rsidR="00117DDA" w:rsidRPr="00BA4ED7">
          <w:rPr>
            <w:rStyle w:val="Hyperlink"/>
            <w:rFonts w:cstheme="minorHAnsi"/>
          </w:rPr>
          <w:t>martinjames@nhs.net</w:t>
        </w:r>
      </w:hyperlink>
      <w:r w:rsidR="00117DDA">
        <w:rPr>
          <w:rFonts w:cstheme="minorHAnsi"/>
        </w:rPr>
        <w:t xml:space="preserve"> </w:t>
      </w:r>
    </w:p>
    <w:p w14:paraId="7735365A" w14:textId="77777777" w:rsidR="00117DDA" w:rsidRPr="00264D3E" w:rsidRDefault="00117DDA" w:rsidP="00117DDA">
      <w:pPr>
        <w:spacing w:after="0" w:line="360" w:lineRule="auto"/>
        <w:rPr>
          <w:rFonts w:cstheme="minorHAnsi"/>
        </w:rPr>
      </w:pPr>
    </w:p>
    <w:p w14:paraId="4F731A73" w14:textId="77777777" w:rsidR="00117DDA" w:rsidRPr="00264D3E" w:rsidRDefault="00117DDA" w:rsidP="00117DDA">
      <w:pPr>
        <w:spacing w:after="0" w:line="360" w:lineRule="auto"/>
        <w:rPr>
          <w:rFonts w:cstheme="minorHAnsi"/>
        </w:rPr>
      </w:pPr>
      <w:r w:rsidRPr="00264D3E">
        <w:rPr>
          <w:rFonts w:cstheme="minorHAnsi"/>
        </w:rPr>
        <w:t>Corresponding Author</w:t>
      </w:r>
    </w:p>
    <w:p w14:paraId="0DCA7C15" w14:textId="77777777" w:rsidR="00117DDA" w:rsidRPr="000F237B" w:rsidRDefault="00117DDA" w:rsidP="00117DDA">
      <w:pPr>
        <w:spacing w:after="0" w:line="360" w:lineRule="auto"/>
        <w:rPr>
          <w:rFonts w:cstheme="minorHAnsi"/>
        </w:rPr>
      </w:pPr>
      <w:r w:rsidRPr="000F237B">
        <w:rPr>
          <w:rFonts w:cstheme="minorHAnsi"/>
        </w:rPr>
        <w:t>Email: thomas.monks@soton.ac.uk</w:t>
      </w:r>
    </w:p>
    <w:p w14:paraId="2C06DDFD" w14:textId="77777777" w:rsidR="00117DDA" w:rsidRDefault="00117DDA" w:rsidP="00117DDA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Phone: </w:t>
      </w:r>
      <w:r>
        <w:rPr>
          <w:noProof/>
        </w:rPr>
        <w:t>023 8120 8201</w:t>
      </w:r>
    </w:p>
    <w:p w14:paraId="721D666B" w14:textId="77777777" w:rsidR="00987133" w:rsidRDefault="00987133" w:rsidP="00987133">
      <w:pPr>
        <w:spacing w:after="0" w:line="360" w:lineRule="auto"/>
        <w:rPr>
          <w:rFonts w:cstheme="minorHAnsi"/>
        </w:rPr>
      </w:pPr>
    </w:p>
    <w:p w14:paraId="6CEF00BE" w14:textId="77777777" w:rsidR="00341CB7" w:rsidRDefault="00341CB7"/>
    <w:p w14:paraId="27FC6C31" w14:textId="77777777" w:rsidR="001D6A8F" w:rsidRDefault="001D6A8F">
      <w:r>
        <w:br w:type="page"/>
      </w:r>
    </w:p>
    <w:p w14:paraId="19CF4E53" w14:textId="77777777" w:rsidR="00EB1604" w:rsidRPr="00EB1604" w:rsidRDefault="00EB1604" w:rsidP="00E018BC">
      <w:pPr>
        <w:pStyle w:val="Heading1"/>
      </w:pPr>
      <w:r w:rsidRPr="00EB1604">
        <w:lastRenderedPageBreak/>
        <w:t>Supplementary Methods</w:t>
      </w:r>
    </w:p>
    <w:p w14:paraId="10738B0D" w14:textId="77777777" w:rsidR="00EB1604" w:rsidRPr="00EB1604" w:rsidRDefault="00EB1604" w:rsidP="00E018BC">
      <w:pPr>
        <w:pStyle w:val="Heading2"/>
      </w:pPr>
      <w:r w:rsidRPr="00EB1604">
        <w:t>Methodology for partial bed pooling</w:t>
      </w:r>
    </w:p>
    <w:p w14:paraId="6D4D0616" w14:textId="1928BF28" w:rsidR="006464F9" w:rsidRDefault="006464F9" w:rsidP="006464F9">
      <w:r>
        <w:t>In order to conduct an analysis of partial bed pooling we used concepts from standard probability theory.   For example, consider a scenario where there are</w:t>
      </w:r>
      <w:r w:rsidR="006665AA">
        <w:t xml:space="preserve"> 14 acute stroke unit beds and</w:t>
      </w:r>
      <w:r>
        <w:t xml:space="preserve"> 12 rehabilitation beds.  Two of the acute unit beds are pooled, i.e. they can be used by either acute or rehab patients. Under these circumstances we can say that:</w:t>
      </w:r>
    </w:p>
    <w:p w14:paraId="3EEF588D" w14:textId="77777777" w:rsidR="006464F9" w:rsidRDefault="006464F9" w:rsidP="006464F9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rPr>
          <w:i/>
          <w:iCs/>
        </w:rPr>
        <w:t>Only acute patients will be delayed</w:t>
      </w:r>
      <w:r>
        <w:t xml:space="preserve"> if the current number of acute patients is &gt;=14 and the current number of rehab patients is &lt;12;</w:t>
      </w:r>
    </w:p>
    <w:p w14:paraId="37E4B91B" w14:textId="77777777" w:rsidR="006464F9" w:rsidRDefault="006464F9" w:rsidP="006464F9">
      <w:pPr>
        <w:pStyle w:val="ListParagraph"/>
        <w:spacing w:after="0" w:line="240" w:lineRule="auto"/>
        <w:contextualSpacing w:val="0"/>
      </w:pPr>
    </w:p>
    <w:p w14:paraId="2E2BDDAD" w14:textId="64D56217" w:rsidR="00FD2B85" w:rsidRPr="00FD2B85" w:rsidRDefault="00FD2B85" w:rsidP="00FD2B8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FF0000"/>
        </w:rPr>
      </w:pPr>
      <w:r w:rsidRPr="00FD2B85">
        <w:rPr>
          <w:i/>
          <w:iCs/>
          <w:color w:val="FF0000"/>
        </w:rPr>
        <w:t>Only rehab patients will be delayed</w:t>
      </w:r>
      <w:r w:rsidRPr="00FD2B85">
        <w:rPr>
          <w:color w:val="FF0000"/>
        </w:rPr>
        <w:t xml:space="preserve"> if the current number of rehab patients is &gt;=14 and the current number of acute patients is &lt;12</w:t>
      </w:r>
    </w:p>
    <w:p w14:paraId="5C9E0A76" w14:textId="77777777" w:rsidR="006464F9" w:rsidRDefault="006464F9" w:rsidP="006464F9">
      <w:pPr>
        <w:spacing w:after="0" w:line="240" w:lineRule="auto"/>
      </w:pPr>
      <w:bookmarkStart w:id="0" w:name="_GoBack"/>
    </w:p>
    <w:p w14:paraId="48E66EF7" w14:textId="77777777" w:rsidR="006464F9" w:rsidRDefault="006464F9" w:rsidP="006464F9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rPr>
          <w:i/>
          <w:iCs/>
        </w:rPr>
        <w:t>Bo</w:t>
      </w:r>
      <w:bookmarkEnd w:id="0"/>
      <w:r>
        <w:rPr>
          <w:i/>
          <w:iCs/>
        </w:rPr>
        <w:t>th acute and rehab patients will be delayed</w:t>
      </w:r>
      <w:r>
        <w:t xml:space="preserve"> if </w:t>
      </w:r>
    </w:p>
    <w:p w14:paraId="4B3BD777" w14:textId="77777777" w:rsidR="006464F9" w:rsidRDefault="006464F9" w:rsidP="006464F9">
      <w:pPr>
        <w:ind w:left="1080"/>
      </w:pPr>
      <w:proofErr w:type="gramStart"/>
      <w:r>
        <w:t>the</w:t>
      </w:r>
      <w:proofErr w:type="gramEnd"/>
      <w:r>
        <w:t xml:space="preserve"> current number of acute patients is &gt;=14 and the current number of rehab patients is &gt;=12;</w:t>
      </w:r>
    </w:p>
    <w:p w14:paraId="51C5D2FC" w14:textId="77777777" w:rsidR="006464F9" w:rsidRDefault="006464F9" w:rsidP="006464F9">
      <w:pPr>
        <w:ind w:left="1080"/>
      </w:pPr>
      <w:proofErr w:type="gramStart"/>
      <w:r>
        <w:t>or</w:t>
      </w:r>
      <w:proofErr w:type="gramEnd"/>
      <w:r>
        <w:t xml:space="preserve"> the current number of acute patients is =13 and the current number of rehab patients is &gt;=13;</w:t>
      </w:r>
    </w:p>
    <w:p w14:paraId="7078B7FE" w14:textId="56C9F258" w:rsidR="006464F9" w:rsidRDefault="006464F9" w:rsidP="006464F9">
      <w:pPr>
        <w:ind w:left="1080"/>
      </w:pPr>
      <w:proofErr w:type="gramStart"/>
      <w:r>
        <w:t>or</w:t>
      </w:r>
      <w:proofErr w:type="gramEnd"/>
      <w:r>
        <w:t xml:space="preserve"> the current number of acute patients is =12 and the current number of rehab patients is &gt;=14.</w:t>
      </w:r>
    </w:p>
    <w:p w14:paraId="62378614" w14:textId="77777777" w:rsidR="006464F9" w:rsidRDefault="006464F9" w:rsidP="006464F9">
      <w:r>
        <w:t>Continuing to use the approximation that the ward occupancies are independent, standard probability rules give us that:</w:t>
      </w:r>
    </w:p>
    <w:p w14:paraId="071FA262" w14:textId="77777777" w:rsidR="006464F9" w:rsidRDefault="006464F9" w:rsidP="006464F9">
      <w:pPr>
        <w:ind w:left="720"/>
      </w:pPr>
      <w:proofErr w:type="gramStart"/>
      <w:r>
        <w:t>P(</w:t>
      </w:r>
      <w:proofErr w:type="gramEnd"/>
      <w:r>
        <w:rPr>
          <w:i/>
          <w:iCs/>
        </w:rPr>
        <w:t>acute delayed</w:t>
      </w:r>
      <w:r>
        <w:t>) = P</w:t>
      </w:r>
      <w:r>
        <w:rPr>
          <w:i/>
          <w:iCs/>
        </w:rPr>
        <w:t>(only acute delayed</w:t>
      </w:r>
      <w:r>
        <w:t>)+P(</w:t>
      </w:r>
      <w:r>
        <w:rPr>
          <w:i/>
          <w:iCs/>
        </w:rPr>
        <w:t>both acute and rehab delayed</w:t>
      </w:r>
      <w:r>
        <w:t>)</w:t>
      </w:r>
    </w:p>
    <w:p w14:paraId="63A53967" w14:textId="77777777" w:rsidR="006464F9" w:rsidRDefault="006464F9" w:rsidP="006464F9">
      <w:pPr>
        <w:ind w:left="720"/>
      </w:pPr>
      <w:r>
        <w:t>=</w:t>
      </w:r>
      <w:proofErr w:type="gramStart"/>
      <w:r>
        <w:t>P(</w:t>
      </w:r>
      <w:proofErr w:type="gramEnd"/>
      <w:r>
        <w:t>acute&gt;=14) x P(rehab&lt;12) + P(acute&gt;=14) x P(rehab&gt;=12) + P(acute=13) x P(rehab&gt;=13) + P(acute=12) x P(rehab&gt;=14)</w:t>
      </w:r>
    </w:p>
    <w:p w14:paraId="54982046" w14:textId="77777777" w:rsidR="006464F9" w:rsidRDefault="006464F9" w:rsidP="006464F9">
      <w:pPr>
        <w:ind w:firstLine="720"/>
      </w:pPr>
      <w:r>
        <w:t>And</w:t>
      </w:r>
    </w:p>
    <w:p w14:paraId="6B1B00EF" w14:textId="77777777" w:rsidR="006464F9" w:rsidRDefault="006464F9" w:rsidP="006464F9">
      <w:pPr>
        <w:ind w:left="720"/>
      </w:pPr>
      <w:proofErr w:type="gramStart"/>
      <w:r>
        <w:t>P(</w:t>
      </w:r>
      <w:proofErr w:type="gramEnd"/>
      <w:r>
        <w:rPr>
          <w:i/>
          <w:iCs/>
        </w:rPr>
        <w:t>rehab delayed</w:t>
      </w:r>
      <w:r>
        <w:t>) = P(</w:t>
      </w:r>
      <w:r>
        <w:rPr>
          <w:i/>
          <w:iCs/>
        </w:rPr>
        <w:t>only rehab delayed</w:t>
      </w:r>
      <w:r>
        <w:t>)+P(</w:t>
      </w:r>
      <w:r>
        <w:rPr>
          <w:i/>
          <w:iCs/>
        </w:rPr>
        <w:t>both acute and rehab delayed</w:t>
      </w:r>
      <w:r>
        <w:t>)</w:t>
      </w:r>
    </w:p>
    <w:p w14:paraId="05FFB30F" w14:textId="77777777" w:rsidR="006464F9" w:rsidRDefault="006464F9" w:rsidP="006464F9">
      <w:pPr>
        <w:ind w:left="720"/>
      </w:pPr>
      <w:r>
        <w:t>=</w:t>
      </w:r>
      <w:proofErr w:type="gramStart"/>
      <w:r>
        <w:t>P(</w:t>
      </w:r>
      <w:proofErr w:type="gramEnd"/>
      <w:r>
        <w:t>acute&lt;14) x P(rehab&gt;=12) + P(acute&gt;=14) x P(rehab&gt;=12) + P(acute=13) x P(rehab&gt;=13) + P(acute=12) x P(rehab&gt;=14)</w:t>
      </w:r>
    </w:p>
    <w:p w14:paraId="3D84FF05" w14:textId="77777777" w:rsidR="006464F9" w:rsidRDefault="006464F9" w:rsidP="006464F9"/>
    <w:p w14:paraId="323841FA" w14:textId="77777777" w:rsidR="006464F9" w:rsidRDefault="006464F9" w:rsidP="006464F9">
      <w:r>
        <w:t>All of these individual probabilities are provided by the simulation model.</w:t>
      </w:r>
    </w:p>
    <w:p w14:paraId="08E8A094" w14:textId="77777777" w:rsidR="00EB1604" w:rsidRDefault="00EB1604" w:rsidP="00EB1604"/>
    <w:p w14:paraId="1C91ADF7" w14:textId="77777777" w:rsidR="006464F9" w:rsidRDefault="006464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AB0A8ED" w14:textId="1C62FD07" w:rsidR="00E018BC" w:rsidRPr="00E018BC" w:rsidRDefault="008F2933" w:rsidP="008F2933">
      <w:pPr>
        <w:pStyle w:val="Heading2"/>
      </w:pPr>
      <w:r>
        <w:lastRenderedPageBreak/>
        <w:t xml:space="preserve">Supplementary </w:t>
      </w:r>
      <w:r w:rsidR="00E018BC" w:rsidRPr="00E018BC">
        <w:t>Model parameters</w:t>
      </w:r>
    </w:p>
    <w:p w14:paraId="249A158B" w14:textId="17867199" w:rsidR="00E018BC" w:rsidRDefault="00E018BC" w:rsidP="00E018BC">
      <w:r>
        <w:t>This supplementary appendix provides the details of model parameters.  These parameters replicate the base scenario</w:t>
      </w:r>
      <w:r w:rsidR="006665AA">
        <w:t>, i</w:t>
      </w:r>
      <w:r>
        <w:t>.e. with current levels of demand.  Scenarios investigating increased demand multipl</w:t>
      </w:r>
      <w:r w:rsidR="006665AA">
        <w:t>y</w:t>
      </w:r>
      <w:r>
        <w:t xml:space="preserve"> the mean arrivals rates (supplied in main text) by the appropriate factor.  To exclude a particular patient group the mean </w:t>
      </w:r>
      <w:r w:rsidR="006665AA">
        <w:t>inter-arrival time</w:t>
      </w:r>
      <w:r>
        <w:t xml:space="preserve"> for that group is multiplied by a large number such that no arrivals will occur in the modelled time horizon.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2613"/>
        <w:gridCol w:w="1012"/>
        <w:gridCol w:w="1012"/>
        <w:gridCol w:w="1012"/>
        <w:gridCol w:w="809"/>
        <w:gridCol w:w="1079"/>
        <w:gridCol w:w="1079"/>
        <w:gridCol w:w="1024"/>
      </w:tblGrid>
      <w:tr w:rsidR="00E018BC" w:rsidRPr="00E2417F" w14:paraId="66D03EEA" w14:textId="77777777" w:rsidTr="001A68A9">
        <w:trPr>
          <w:trHeight w:val="288"/>
        </w:trPr>
        <w:tc>
          <w:tcPr>
            <w:tcW w:w="9640" w:type="dxa"/>
            <w:gridSpan w:val="8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F4FE34F" w14:textId="77777777" w:rsidR="00E018BC" w:rsidRPr="00E2417F" w:rsidRDefault="00E018BC" w:rsidP="001A6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Table S2: Acute Length of stay parameters</w:t>
            </w:r>
          </w:p>
        </w:tc>
      </w:tr>
      <w:tr w:rsidR="00E018BC" w:rsidRPr="00E2417F" w14:paraId="22A977D2" w14:textId="77777777" w:rsidTr="001A68A9">
        <w:trPr>
          <w:trHeight w:val="288"/>
        </w:trPr>
        <w:tc>
          <w:tcPr>
            <w:tcW w:w="2613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287" w14:textId="77777777" w:rsidR="00E018BC" w:rsidRPr="00E2417F" w:rsidRDefault="00E018BC" w:rsidP="001A6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67FB" w14:textId="77777777" w:rsidR="00E018BC" w:rsidRPr="00E2417F" w:rsidRDefault="00E018BC" w:rsidP="001A6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FA72" w14:textId="77777777" w:rsidR="00E018BC" w:rsidRPr="00E2417F" w:rsidRDefault="00E018BC" w:rsidP="001A6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E7B2" w14:textId="77777777" w:rsidR="00E018BC" w:rsidRPr="00E2417F" w:rsidRDefault="00E018BC" w:rsidP="001A6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991" w:type="dxa"/>
            <w:gridSpan w:val="4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49F2" w14:textId="77777777" w:rsidR="00E018BC" w:rsidRPr="00E2417F" w:rsidRDefault="00E018BC" w:rsidP="001A6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Percentiles</w:t>
            </w:r>
          </w:p>
        </w:tc>
      </w:tr>
      <w:tr w:rsidR="00E018BC" w:rsidRPr="00E2417F" w14:paraId="18A7B882" w14:textId="77777777" w:rsidTr="001A68A9">
        <w:trPr>
          <w:trHeight w:val="288"/>
        </w:trPr>
        <w:tc>
          <w:tcPr>
            <w:tcW w:w="261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81E3" w14:textId="77777777" w:rsidR="00E018BC" w:rsidRPr="00E2417F" w:rsidRDefault="00E018BC" w:rsidP="001A6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0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1D010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Mean</w:t>
            </w:r>
          </w:p>
        </w:tc>
        <w:tc>
          <w:tcPr>
            <w:tcW w:w="10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7AD2F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Stdev</w:t>
            </w:r>
            <w:proofErr w:type="spellEnd"/>
          </w:p>
        </w:tc>
        <w:tc>
          <w:tcPr>
            <w:tcW w:w="10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BC6D5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Median</w:t>
            </w:r>
          </w:p>
        </w:tc>
        <w:tc>
          <w:tcPr>
            <w:tcW w:w="8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9C4B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5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zh-CN"/>
              </w:rPr>
              <w:t>th</w:t>
            </w:r>
          </w:p>
        </w:tc>
        <w:tc>
          <w:tcPr>
            <w:tcW w:w="10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3A497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95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zh-CN"/>
              </w:rPr>
              <w:t>th</w:t>
            </w:r>
          </w:p>
        </w:tc>
        <w:tc>
          <w:tcPr>
            <w:tcW w:w="10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E094D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25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zh-CN"/>
              </w:rPr>
              <w:t>th</w:t>
            </w:r>
          </w:p>
        </w:tc>
        <w:tc>
          <w:tcPr>
            <w:tcW w:w="10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79DA6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75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zh-CN"/>
              </w:rPr>
              <w:t>th</w:t>
            </w:r>
          </w:p>
        </w:tc>
      </w:tr>
      <w:tr w:rsidR="00E018BC" w:rsidRPr="00E2417F" w14:paraId="24DDA691" w14:textId="77777777" w:rsidTr="001A68A9">
        <w:trPr>
          <w:trHeight w:val="28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0679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 xml:space="preserve">Strokes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–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 xml:space="preserve"> No ESD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5974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7.4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769B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8.6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EC62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4.0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1770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E121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23.0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9DBC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FAC2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9.0</w:t>
            </w:r>
          </w:p>
        </w:tc>
      </w:tr>
      <w:tr w:rsidR="00E018BC" w:rsidRPr="00E2417F" w14:paraId="63760777" w14:textId="77777777" w:rsidTr="001A68A9">
        <w:trPr>
          <w:trHeight w:val="28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C418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 xml:space="preserve">Strokes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–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 xml:space="preserve"> ESD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A823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4.6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EAE7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4.8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95DB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3.0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C8A7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7D31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11.0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A86C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3F88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6.0</w:t>
            </w:r>
          </w:p>
        </w:tc>
      </w:tr>
      <w:tr w:rsidR="00E018BC" w:rsidRPr="00E2417F" w14:paraId="4EB2B0EA" w14:textId="77777777" w:rsidTr="001A68A9">
        <w:trPr>
          <w:trHeight w:val="28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4FE0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 xml:space="preserve">Stroke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–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Mortality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1093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7.0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CD32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8.7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98F5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4.0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C5C5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0.5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FD72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22.0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C0F4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0F81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8.0</w:t>
            </w:r>
          </w:p>
        </w:tc>
      </w:tr>
      <w:tr w:rsidR="00E018BC" w:rsidRPr="00E2417F" w14:paraId="59F4082B" w14:textId="77777777" w:rsidTr="001A68A9">
        <w:trPr>
          <w:trHeight w:val="28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CDCF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TIA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5F02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9D47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2.3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868E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E6A6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0.5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7242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4.0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FC82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D959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2.0</w:t>
            </w:r>
          </w:p>
        </w:tc>
      </w:tr>
      <w:tr w:rsidR="00E018BC" w:rsidRPr="00E2417F" w14:paraId="50380A53" w14:textId="77777777" w:rsidTr="001A68A9">
        <w:trPr>
          <w:trHeight w:val="288"/>
        </w:trPr>
        <w:tc>
          <w:tcPr>
            <w:tcW w:w="26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357D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Complex-neurological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A40D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4.0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3D93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5.0</w:t>
            </w:r>
          </w:p>
        </w:tc>
        <w:tc>
          <w:tcPr>
            <w:tcW w:w="10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F962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2.0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FB4B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0.5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4C27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13.6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6130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1.0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535E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5.0</w:t>
            </w:r>
          </w:p>
        </w:tc>
      </w:tr>
      <w:tr w:rsidR="00E018BC" w:rsidRPr="00E2417F" w14:paraId="0AACC9DF" w14:textId="77777777" w:rsidTr="001A68A9">
        <w:trPr>
          <w:trHeight w:val="288"/>
        </w:trPr>
        <w:tc>
          <w:tcPr>
            <w:tcW w:w="26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0EF71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Other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E7B00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3.8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16446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5.2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0B0E3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2.0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EDE09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0.5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8FCD9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12.1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8FB28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7FDB4" w14:textId="77777777" w:rsidR="00E018BC" w:rsidRPr="00E2417F" w:rsidRDefault="00E018BC" w:rsidP="001A68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5.0</w:t>
            </w:r>
          </w:p>
        </w:tc>
      </w:tr>
      <w:tr w:rsidR="00E018BC" w:rsidRPr="00E2417F" w14:paraId="3B802E4D" w14:textId="77777777" w:rsidTr="001A68A9">
        <w:trPr>
          <w:trHeight w:val="288"/>
        </w:trPr>
        <w:tc>
          <w:tcPr>
            <w:tcW w:w="9640" w:type="dxa"/>
            <w:gridSpan w:val="8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C91D92" w14:textId="77777777" w:rsidR="00E018BC" w:rsidRPr="00E2417F" w:rsidRDefault="00E018BC" w:rsidP="001A68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All distributions modelled as lognormal.</w:t>
            </w:r>
          </w:p>
        </w:tc>
      </w:tr>
    </w:tbl>
    <w:p w14:paraId="670F7DC4" w14:textId="77777777" w:rsidR="00E2417F" w:rsidRDefault="00E2417F" w:rsidP="00EB1604"/>
    <w:tbl>
      <w:tblPr>
        <w:tblW w:w="9200" w:type="dxa"/>
        <w:tblLook w:val="04A0" w:firstRow="1" w:lastRow="0" w:firstColumn="1" w:lastColumn="0" w:noHBand="0" w:noVBand="1"/>
      </w:tblPr>
      <w:tblGrid>
        <w:gridCol w:w="2480"/>
        <w:gridCol w:w="960"/>
        <w:gridCol w:w="960"/>
        <w:gridCol w:w="960"/>
        <w:gridCol w:w="960"/>
        <w:gridCol w:w="960"/>
        <w:gridCol w:w="960"/>
        <w:gridCol w:w="960"/>
      </w:tblGrid>
      <w:tr w:rsidR="005C258F" w:rsidRPr="00E2417F" w14:paraId="252EF7C3" w14:textId="77777777" w:rsidTr="00915298">
        <w:trPr>
          <w:trHeight w:val="288"/>
        </w:trPr>
        <w:tc>
          <w:tcPr>
            <w:tcW w:w="9200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65D5266" w14:textId="653C08C1" w:rsidR="005C258F" w:rsidRPr="00E2417F" w:rsidRDefault="005C258F" w:rsidP="00E24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Table S2: Rehabilitation length of stay parameters</w:t>
            </w:r>
          </w:p>
        </w:tc>
      </w:tr>
      <w:tr w:rsidR="00E2417F" w:rsidRPr="00E2417F" w14:paraId="6B53E2AC" w14:textId="77777777" w:rsidTr="00E2417F">
        <w:trPr>
          <w:trHeight w:val="288"/>
        </w:trPr>
        <w:tc>
          <w:tcPr>
            <w:tcW w:w="2480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BD7E" w14:textId="77777777" w:rsidR="00E2417F" w:rsidRPr="00E2417F" w:rsidRDefault="00E2417F" w:rsidP="00E24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5F4B" w14:textId="77777777" w:rsidR="00E2417F" w:rsidRPr="00E2417F" w:rsidRDefault="00E2417F" w:rsidP="00E24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95E4" w14:textId="77777777" w:rsidR="00E2417F" w:rsidRPr="00E2417F" w:rsidRDefault="00E2417F" w:rsidP="00E24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16E8" w14:textId="77777777" w:rsidR="00E2417F" w:rsidRPr="00E2417F" w:rsidRDefault="00E2417F" w:rsidP="00E24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840" w:type="dxa"/>
            <w:gridSpan w:val="4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9C45" w14:textId="77777777" w:rsidR="00E2417F" w:rsidRPr="00E2417F" w:rsidRDefault="00E2417F" w:rsidP="00E241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Percentiles</w:t>
            </w:r>
          </w:p>
        </w:tc>
      </w:tr>
      <w:tr w:rsidR="005C258F" w:rsidRPr="00E2417F" w14:paraId="4964DF3B" w14:textId="77777777" w:rsidTr="00E2417F">
        <w:trPr>
          <w:trHeight w:val="288"/>
        </w:trPr>
        <w:tc>
          <w:tcPr>
            <w:tcW w:w="24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D800" w14:textId="77777777" w:rsidR="005C258F" w:rsidRPr="00E2417F" w:rsidRDefault="005C258F" w:rsidP="005C25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A20B1" w14:textId="77777777" w:rsidR="005C258F" w:rsidRPr="00E2417F" w:rsidRDefault="005C258F" w:rsidP="005C25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Mean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4CB9D" w14:textId="77777777" w:rsidR="005C258F" w:rsidRPr="00E2417F" w:rsidRDefault="005C258F" w:rsidP="005C25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Stdev</w:t>
            </w:r>
            <w:proofErr w:type="spellEnd"/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43168" w14:textId="77777777" w:rsidR="005C258F" w:rsidRPr="00E2417F" w:rsidRDefault="005C258F" w:rsidP="005C25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Median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847C9" w14:textId="5317CE9F" w:rsidR="005C258F" w:rsidRPr="00E2417F" w:rsidRDefault="005C258F" w:rsidP="005C25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5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zh-CN"/>
              </w:rPr>
              <w:t>th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6BE29" w14:textId="6A6D2DD1" w:rsidR="005C258F" w:rsidRPr="00E2417F" w:rsidRDefault="005C258F" w:rsidP="005C25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95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zh-CN"/>
              </w:rPr>
              <w:t>th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A2A6D" w14:textId="471E72A4" w:rsidR="005C258F" w:rsidRPr="00E2417F" w:rsidRDefault="005C258F" w:rsidP="005C25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25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zh-CN"/>
              </w:rPr>
              <w:t>th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A5111" w14:textId="640EFFE3" w:rsidR="005C258F" w:rsidRPr="00E2417F" w:rsidRDefault="005C258F" w:rsidP="005C25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75</w:t>
            </w: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zh-CN"/>
              </w:rPr>
              <w:t>th</w:t>
            </w:r>
          </w:p>
        </w:tc>
      </w:tr>
      <w:tr w:rsidR="00E2417F" w:rsidRPr="00E2417F" w14:paraId="7E484643" w14:textId="77777777" w:rsidTr="00E2417F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A882" w14:textId="77777777" w:rsidR="00E2417F" w:rsidRPr="00E2417F" w:rsidRDefault="00E2417F" w:rsidP="00E241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Strokes - No ESD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6768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D501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4123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90EA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3980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86.9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AAD4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8438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38.0</w:t>
            </w:r>
          </w:p>
        </w:tc>
      </w:tr>
      <w:tr w:rsidR="00E2417F" w:rsidRPr="00E2417F" w14:paraId="17A926E2" w14:textId="77777777" w:rsidTr="00E2417F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6416" w14:textId="77777777" w:rsidR="00E2417F" w:rsidRPr="00E2417F" w:rsidRDefault="00E2417F" w:rsidP="00E241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Strokes - ESD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81A0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30.3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A49A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7ABD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99DA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6F9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78.0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5977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0E1C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44.0</w:t>
            </w:r>
          </w:p>
        </w:tc>
      </w:tr>
      <w:tr w:rsidR="00E2417F" w:rsidRPr="00E2417F" w14:paraId="6615A30A" w14:textId="77777777" w:rsidTr="00E2417F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765B" w14:textId="77777777" w:rsidR="00E2417F" w:rsidRPr="00E2417F" w:rsidRDefault="00E2417F" w:rsidP="00E241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Complex-neurological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5B20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9AD6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F722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2B3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9494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88.5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CCA8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092B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36.0</w:t>
            </w:r>
          </w:p>
        </w:tc>
      </w:tr>
      <w:tr w:rsidR="00E2417F" w:rsidRPr="00E2417F" w14:paraId="481C8F37" w14:textId="77777777" w:rsidTr="00E2417F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B077" w14:textId="77777777" w:rsidR="00E2417F" w:rsidRPr="00E2417F" w:rsidRDefault="00E2417F" w:rsidP="00E241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AC68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F030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5C8B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2B1E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09F1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600F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DC83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24.3</w:t>
            </w:r>
          </w:p>
        </w:tc>
      </w:tr>
      <w:tr w:rsidR="00E2417F" w:rsidRPr="00E2417F" w14:paraId="0BF29E19" w14:textId="77777777" w:rsidTr="00E2417F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F141D" w14:textId="77777777" w:rsidR="00E2417F" w:rsidRPr="00E2417F" w:rsidRDefault="00E2417F" w:rsidP="00E241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TIA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35BEC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A6034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95AEC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1D3C4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603B4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91A30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E586A" w14:textId="77777777" w:rsidR="00E2417F" w:rsidRPr="00E2417F" w:rsidRDefault="00E2417F" w:rsidP="00E241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lang w:eastAsia="zh-CN"/>
              </w:rPr>
              <w:t>28.0</w:t>
            </w:r>
          </w:p>
        </w:tc>
      </w:tr>
      <w:tr w:rsidR="00E2417F" w:rsidRPr="00E2417F" w14:paraId="647C2022" w14:textId="77777777" w:rsidTr="00E2417F">
        <w:trPr>
          <w:trHeight w:val="288"/>
        </w:trPr>
        <w:tc>
          <w:tcPr>
            <w:tcW w:w="9200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07A2E" w14:textId="7A396505" w:rsidR="00E2417F" w:rsidRPr="00E2417F" w:rsidRDefault="005C258F" w:rsidP="005C25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241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All distributions modelled as lognormal.</w:t>
            </w:r>
          </w:p>
        </w:tc>
      </w:tr>
    </w:tbl>
    <w:p w14:paraId="28509F78" w14:textId="77777777" w:rsidR="005C258F" w:rsidRDefault="00EB160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508"/>
        <w:gridCol w:w="2478"/>
        <w:gridCol w:w="1774"/>
      </w:tblGrid>
      <w:tr w:rsidR="005C258F" w:rsidRPr="005C258F" w14:paraId="0FB47DD8" w14:textId="77777777" w:rsidTr="005C258F">
        <w:trPr>
          <w:trHeight w:val="329"/>
        </w:trPr>
        <w:tc>
          <w:tcPr>
            <w:tcW w:w="9016" w:type="dxa"/>
            <w:gridSpan w:val="5"/>
            <w:tcBorders>
              <w:bottom w:val="single" w:sz="12" w:space="0" w:color="auto"/>
            </w:tcBorders>
          </w:tcPr>
          <w:p w14:paraId="2B0C3E08" w14:textId="4AFE80EF" w:rsidR="005C258F" w:rsidRPr="005C258F" w:rsidRDefault="005C258F" w:rsidP="000C08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S3: Patient transfer matrix from acute stroke unit</w:t>
            </w:r>
          </w:p>
        </w:tc>
      </w:tr>
      <w:tr w:rsidR="005C258F" w:rsidRPr="005C258F" w14:paraId="6343A160" w14:textId="77777777" w:rsidTr="005C258F">
        <w:trPr>
          <w:trHeight w:val="329"/>
        </w:trPr>
        <w:tc>
          <w:tcPr>
            <w:tcW w:w="1555" w:type="dxa"/>
            <w:tcBorders>
              <w:top w:val="single" w:sz="12" w:space="0" w:color="auto"/>
              <w:bottom w:val="single" w:sz="8" w:space="0" w:color="auto"/>
            </w:tcBorders>
          </w:tcPr>
          <w:p w14:paraId="518BFCA1" w14:textId="2E7B97C9" w:rsidR="005C258F" w:rsidRPr="005C258F" w:rsidRDefault="005C258F" w:rsidP="005C258F">
            <w:pPr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790DA02D" w14:textId="72EB8CF8" w:rsidR="005C258F" w:rsidRPr="005C258F" w:rsidRDefault="005C258F" w:rsidP="005C258F">
            <w:pPr>
              <w:rPr>
                <w:b/>
                <w:bCs/>
              </w:rPr>
            </w:pPr>
            <w:r w:rsidRPr="005C258F">
              <w:rPr>
                <w:b/>
                <w:bCs/>
              </w:rPr>
              <w:t>Stroke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1AC6DCC1" w14:textId="77777777" w:rsidR="005C258F" w:rsidRPr="005C258F" w:rsidRDefault="005C258F" w:rsidP="005C258F">
            <w:pPr>
              <w:rPr>
                <w:b/>
                <w:bCs/>
              </w:rPr>
            </w:pPr>
            <w:r w:rsidRPr="005C258F">
              <w:rPr>
                <w:b/>
                <w:bCs/>
              </w:rPr>
              <w:t>TIA</w:t>
            </w:r>
          </w:p>
        </w:tc>
        <w:tc>
          <w:tcPr>
            <w:tcW w:w="2478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5A0F9C12" w14:textId="77777777" w:rsidR="005C258F" w:rsidRPr="005C258F" w:rsidRDefault="005C258F" w:rsidP="005C258F">
            <w:pPr>
              <w:rPr>
                <w:b/>
                <w:bCs/>
              </w:rPr>
            </w:pPr>
            <w:r w:rsidRPr="005C258F">
              <w:rPr>
                <w:b/>
                <w:bCs/>
              </w:rPr>
              <w:t>Complex-neurological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23E35514" w14:textId="77777777" w:rsidR="005C258F" w:rsidRPr="005C258F" w:rsidRDefault="005C258F" w:rsidP="005C258F">
            <w:pPr>
              <w:rPr>
                <w:b/>
                <w:bCs/>
              </w:rPr>
            </w:pPr>
            <w:r w:rsidRPr="005C258F">
              <w:rPr>
                <w:b/>
                <w:bCs/>
              </w:rPr>
              <w:t>Other</w:t>
            </w:r>
          </w:p>
        </w:tc>
      </w:tr>
      <w:tr w:rsidR="005C258F" w:rsidRPr="005C258F" w14:paraId="0542E061" w14:textId="77777777" w:rsidTr="005C258F">
        <w:trPr>
          <w:trHeight w:val="329"/>
        </w:trPr>
        <w:tc>
          <w:tcPr>
            <w:tcW w:w="1555" w:type="dxa"/>
            <w:tcBorders>
              <w:top w:val="single" w:sz="8" w:space="0" w:color="auto"/>
            </w:tcBorders>
          </w:tcPr>
          <w:p w14:paraId="5AA9FE64" w14:textId="1C2F8ED1" w:rsidR="005C258F" w:rsidRPr="005C258F" w:rsidRDefault="005C258F" w:rsidP="005C258F">
            <w:pPr>
              <w:rPr>
                <w:b/>
                <w:bCs/>
              </w:rPr>
            </w:pPr>
            <w:r w:rsidRPr="005C258F">
              <w:rPr>
                <w:b/>
                <w:bCs/>
              </w:rPr>
              <w:t>Rehab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noWrap/>
            <w:hideMark/>
          </w:tcPr>
          <w:p w14:paraId="3492DA29" w14:textId="0267941E" w:rsidR="005C258F" w:rsidRPr="005C258F" w:rsidRDefault="005C258F" w:rsidP="005C258F">
            <w:r w:rsidRPr="005C258F">
              <w:t>24%</w:t>
            </w:r>
          </w:p>
        </w:tc>
        <w:tc>
          <w:tcPr>
            <w:tcW w:w="1508" w:type="dxa"/>
            <w:tcBorders>
              <w:top w:val="single" w:sz="8" w:space="0" w:color="auto"/>
            </w:tcBorders>
            <w:noWrap/>
            <w:hideMark/>
          </w:tcPr>
          <w:p w14:paraId="00C81B29" w14:textId="77777777" w:rsidR="005C258F" w:rsidRPr="005C258F" w:rsidRDefault="005C258F" w:rsidP="005C258F">
            <w:r w:rsidRPr="005C258F">
              <w:t>1%</w:t>
            </w:r>
          </w:p>
        </w:tc>
        <w:tc>
          <w:tcPr>
            <w:tcW w:w="2478" w:type="dxa"/>
            <w:tcBorders>
              <w:top w:val="single" w:sz="8" w:space="0" w:color="auto"/>
            </w:tcBorders>
            <w:noWrap/>
            <w:hideMark/>
          </w:tcPr>
          <w:p w14:paraId="17C69338" w14:textId="77777777" w:rsidR="005C258F" w:rsidRPr="005C258F" w:rsidRDefault="005C258F" w:rsidP="005C258F">
            <w:r w:rsidRPr="005C258F">
              <w:t>11%</w:t>
            </w:r>
          </w:p>
        </w:tc>
        <w:tc>
          <w:tcPr>
            <w:tcW w:w="1774" w:type="dxa"/>
            <w:tcBorders>
              <w:top w:val="single" w:sz="8" w:space="0" w:color="auto"/>
            </w:tcBorders>
            <w:noWrap/>
            <w:hideMark/>
          </w:tcPr>
          <w:p w14:paraId="380A7BF9" w14:textId="77777777" w:rsidR="005C258F" w:rsidRPr="005C258F" w:rsidRDefault="005C258F" w:rsidP="005C258F">
            <w:r w:rsidRPr="005C258F">
              <w:t>5%</w:t>
            </w:r>
          </w:p>
        </w:tc>
      </w:tr>
      <w:tr w:rsidR="005C258F" w:rsidRPr="005C258F" w14:paraId="7630A13A" w14:textId="77777777" w:rsidTr="005C258F">
        <w:trPr>
          <w:trHeight w:val="329"/>
        </w:trPr>
        <w:tc>
          <w:tcPr>
            <w:tcW w:w="1555" w:type="dxa"/>
          </w:tcPr>
          <w:p w14:paraId="493A378D" w14:textId="6786B82C" w:rsidR="005C258F" w:rsidRPr="005C258F" w:rsidRDefault="005C258F" w:rsidP="005C258F">
            <w:pPr>
              <w:rPr>
                <w:b/>
                <w:bCs/>
              </w:rPr>
            </w:pPr>
            <w:r w:rsidRPr="005C258F">
              <w:rPr>
                <w:b/>
                <w:bCs/>
              </w:rPr>
              <w:t>ESD</w:t>
            </w:r>
          </w:p>
        </w:tc>
        <w:tc>
          <w:tcPr>
            <w:tcW w:w="1701" w:type="dxa"/>
            <w:noWrap/>
            <w:hideMark/>
          </w:tcPr>
          <w:p w14:paraId="71A6AE05" w14:textId="469124B6" w:rsidR="005C258F" w:rsidRPr="005C258F" w:rsidRDefault="005C258F" w:rsidP="005C258F">
            <w:r w:rsidRPr="005C258F">
              <w:t>13%</w:t>
            </w:r>
          </w:p>
        </w:tc>
        <w:tc>
          <w:tcPr>
            <w:tcW w:w="1508" w:type="dxa"/>
            <w:noWrap/>
            <w:hideMark/>
          </w:tcPr>
          <w:p w14:paraId="226EEC48" w14:textId="77777777" w:rsidR="005C258F" w:rsidRPr="005C258F" w:rsidRDefault="005C258F" w:rsidP="005C258F">
            <w:r w:rsidRPr="005C258F">
              <w:t>1%</w:t>
            </w:r>
          </w:p>
        </w:tc>
        <w:tc>
          <w:tcPr>
            <w:tcW w:w="2478" w:type="dxa"/>
            <w:noWrap/>
            <w:hideMark/>
          </w:tcPr>
          <w:p w14:paraId="146B4061" w14:textId="77777777" w:rsidR="005C258F" w:rsidRPr="005C258F" w:rsidRDefault="005C258F" w:rsidP="005C258F">
            <w:r w:rsidRPr="005C258F">
              <w:t>5%</w:t>
            </w:r>
          </w:p>
        </w:tc>
        <w:tc>
          <w:tcPr>
            <w:tcW w:w="1774" w:type="dxa"/>
            <w:noWrap/>
            <w:hideMark/>
          </w:tcPr>
          <w:p w14:paraId="719181E2" w14:textId="77777777" w:rsidR="005C258F" w:rsidRPr="005C258F" w:rsidRDefault="005C258F" w:rsidP="005C258F">
            <w:r w:rsidRPr="005C258F">
              <w:t>10%</w:t>
            </w:r>
          </w:p>
        </w:tc>
      </w:tr>
      <w:tr w:rsidR="005C258F" w:rsidRPr="005C258F" w14:paraId="4DFA9816" w14:textId="77777777" w:rsidTr="005C258F">
        <w:trPr>
          <w:trHeight w:val="329"/>
        </w:trPr>
        <w:tc>
          <w:tcPr>
            <w:tcW w:w="1555" w:type="dxa"/>
            <w:tcBorders>
              <w:bottom w:val="single" w:sz="18" w:space="0" w:color="auto"/>
            </w:tcBorders>
          </w:tcPr>
          <w:p w14:paraId="06E213FE" w14:textId="5E25D4FA" w:rsidR="005C258F" w:rsidRPr="005C258F" w:rsidRDefault="005C258F" w:rsidP="005C258F">
            <w:pPr>
              <w:rPr>
                <w:b/>
                <w:bCs/>
              </w:rPr>
            </w:pPr>
            <w:r w:rsidRPr="005C258F">
              <w:rPr>
                <w:b/>
                <w:bCs/>
              </w:rPr>
              <w:t>Other</w:t>
            </w:r>
            <w:r w:rsidRPr="005C258F">
              <w:rPr>
                <w:b/>
                <w:bCs/>
                <w:vertAlign w:val="superscript"/>
              </w:rPr>
              <w:t>*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noWrap/>
            <w:hideMark/>
          </w:tcPr>
          <w:p w14:paraId="42A61E17" w14:textId="59720978" w:rsidR="005C258F" w:rsidRPr="005C258F" w:rsidRDefault="005C258F" w:rsidP="005C258F">
            <w:r w:rsidRPr="005C258F">
              <w:t>63%</w:t>
            </w:r>
          </w:p>
        </w:tc>
        <w:tc>
          <w:tcPr>
            <w:tcW w:w="1508" w:type="dxa"/>
            <w:tcBorders>
              <w:bottom w:val="single" w:sz="18" w:space="0" w:color="auto"/>
            </w:tcBorders>
            <w:noWrap/>
            <w:hideMark/>
          </w:tcPr>
          <w:p w14:paraId="79DD211C" w14:textId="77777777" w:rsidR="005C258F" w:rsidRPr="005C258F" w:rsidRDefault="005C258F" w:rsidP="005C258F">
            <w:r w:rsidRPr="005C258F">
              <w:t>98%</w:t>
            </w:r>
          </w:p>
        </w:tc>
        <w:tc>
          <w:tcPr>
            <w:tcW w:w="2478" w:type="dxa"/>
            <w:tcBorders>
              <w:bottom w:val="single" w:sz="18" w:space="0" w:color="auto"/>
            </w:tcBorders>
            <w:noWrap/>
            <w:hideMark/>
          </w:tcPr>
          <w:p w14:paraId="334C1753" w14:textId="77777777" w:rsidR="005C258F" w:rsidRPr="005C258F" w:rsidRDefault="005C258F" w:rsidP="005C258F">
            <w:r w:rsidRPr="005C258F">
              <w:t>84%</w:t>
            </w:r>
          </w:p>
        </w:tc>
        <w:tc>
          <w:tcPr>
            <w:tcW w:w="1774" w:type="dxa"/>
            <w:tcBorders>
              <w:bottom w:val="single" w:sz="18" w:space="0" w:color="auto"/>
            </w:tcBorders>
            <w:noWrap/>
            <w:hideMark/>
          </w:tcPr>
          <w:p w14:paraId="09279137" w14:textId="77777777" w:rsidR="005C258F" w:rsidRPr="005C258F" w:rsidRDefault="005C258F" w:rsidP="005C258F">
            <w:r w:rsidRPr="005C258F">
              <w:t>85%</w:t>
            </w:r>
          </w:p>
        </w:tc>
      </w:tr>
      <w:tr w:rsidR="005C258F" w:rsidRPr="005C258F" w14:paraId="25A18827" w14:textId="77777777" w:rsidTr="005C258F">
        <w:trPr>
          <w:trHeight w:val="329"/>
        </w:trPr>
        <w:tc>
          <w:tcPr>
            <w:tcW w:w="9016" w:type="dxa"/>
            <w:gridSpan w:val="5"/>
            <w:tcBorders>
              <w:top w:val="single" w:sz="18" w:space="0" w:color="auto"/>
            </w:tcBorders>
          </w:tcPr>
          <w:p w14:paraId="4DBB4DB9" w14:textId="5AA59FEC" w:rsidR="005C258F" w:rsidRPr="005C258F" w:rsidRDefault="005C258F" w:rsidP="005C258F">
            <w:pPr>
              <w:rPr>
                <w:sz w:val="18"/>
                <w:szCs w:val="18"/>
              </w:rPr>
            </w:pPr>
            <w:r w:rsidRPr="005C258F">
              <w:rPr>
                <w:sz w:val="18"/>
                <w:szCs w:val="18"/>
              </w:rPr>
              <w:t xml:space="preserve">*Other includes any destination other than rehab or ESD.  For example own home, care home or mortality. </w:t>
            </w:r>
          </w:p>
        </w:tc>
      </w:tr>
    </w:tbl>
    <w:p w14:paraId="7DB47762" w14:textId="77777777" w:rsidR="000C08EC" w:rsidRDefault="000C08E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2304"/>
        <w:gridCol w:w="1648"/>
      </w:tblGrid>
      <w:tr w:rsidR="000C08EC" w:rsidRPr="000C08EC" w14:paraId="4A70868E" w14:textId="77777777" w:rsidTr="000C08EC">
        <w:trPr>
          <w:trHeight w:val="255"/>
        </w:trPr>
        <w:tc>
          <w:tcPr>
            <w:tcW w:w="8884" w:type="dxa"/>
            <w:gridSpan w:val="5"/>
            <w:tcBorders>
              <w:bottom w:val="single" w:sz="12" w:space="0" w:color="auto"/>
            </w:tcBorders>
          </w:tcPr>
          <w:p w14:paraId="057090D2" w14:textId="71B38B34" w:rsidR="000C08EC" w:rsidRPr="000C08EC" w:rsidRDefault="000C08EC" w:rsidP="000C08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S4: Patient transfer matrix from inpatient rehabilitation ward</w:t>
            </w:r>
          </w:p>
        </w:tc>
      </w:tr>
      <w:tr w:rsidR="000C08EC" w:rsidRPr="000C08EC" w14:paraId="2CA56288" w14:textId="77777777" w:rsidTr="000C08EC">
        <w:trPr>
          <w:trHeight w:val="255"/>
        </w:trPr>
        <w:tc>
          <w:tcPr>
            <w:tcW w:w="1644" w:type="dxa"/>
            <w:tcBorders>
              <w:top w:val="single" w:sz="12" w:space="0" w:color="auto"/>
              <w:bottom w:val="single" w:sz="8" w:space="0" w:color="auto"/>
            </w:tcBorders>
          </w:tcPr>
          <w:p w14:paraId="1BAF3F56" w14:textId="77777777" w:rsidR="000C08EC" w:rsidRPr="000C08EC" w:rsidRDefault="000C08EC" w:rsidP="000C08EC">
            <w:pPr>
              <w:rPr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370D69BE" w14:textId="6E4D046A" w:rsidR="000C08EC" w:rsidRPr="000C08EC" w:rsidRDefault="000C08EC" w:rsidP="000C08EC">
            <w:pPr>
              <w:rPr>
                <w:b/>
                <w:bCs/>
              </w:rPr>
            </w:pPr>
            <w:r w:rsidRPr="000C08EC">
              <w:rPr>
                <w:b/>
                <w:bCs/>
              </w:rPr>
              <w:t>Stroke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189E5D1E" w14:textId="77777777" w:rsidR="000C08EC" w:rsidRPr="000C08EC" w:rsidRDefault="000C08EC" w:rsidP="000C08EC">
            <w:pPr>
              <w:rPr>
                <w:b/>
                <w:bCs/>
              </w:rPr>
            </w:pPr>
            <w:r w:rsidRPr="000C08EC">
              <w:rPr>
                <w:b/>
                <w:bCs/>
              </w:rPr>
              <w:t>TIA</w:t>
            </w:r>
          </w:p>
        </w:tc>
        <w:tc>
          <w:tcPr>
            <w:tcW w:w="2304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0E66F921" w14:textId="77777777" w:rsidR="000C08EC" w:rsidRPr="000C08EC" w:rsidRDefault="000C08EC" w:rsidP="000C08EC">
            <w:pPr>
              <w:rPr>
                <w:b/>
                <w:bCs/>
              </w:rPr>
            </w:pPr>
            <w:r w:rsidRPr="000C08EC">
              <w:rPr>
                <w:b/>
                <w:bCs/>
              </w:rPr>
              <w:t>Complex-neurological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1F70276E" w14:textId="77777777" w:rsidR="000C08EC" w:rsidRPr="000C08EC" w:rsidRDefault="000C08EC" w:rsidP="000C08EC">
            <w:pPr>
              <w:rPr>
                <w:b/>
                <w:bCs/>
              </w:rPr>
            </w:pPr>
            <w:r w:rsidRPr="000C08EC">
              <w:rPr>
                <w:b/>
                <w:bCs/>
              </w:rPr>
              <w:t>Other</w:t>
            </w:r>
          </w:p>
        </w:tc>
      </w:tr>
      <w:tr w:rsidR="000C08EC" w:rsidRPr="000C08EC" w14:paraId="141F2897" w14:textId="77777777" w:rsidTr="000C08EC">
        <w:trPr>
          <w:trHeight w:val="255"/>
        </w:trPr>
        <w:tc>
          <w:tcPr>
            <w:tcW w:w="1644" w:type="dxa"/>
            <w:tcBorders>
              <w:top w:val="single" w:sz="8" w:space="0" w:color="auto"/>
            </w:tcBorders>
          </w:tcPr>
          <w:p w14:paraId="5F7FD1C1" w14:textId="1D5BE1D0" w:rsidR="000C08EC" w:rsidRPr="000C08EC" w:rsidRDefault="000C08EC" w:rsidP="000C08EC">
            <w:r>
              <w:t>ESD</w:t>
            </w:r>
          </w:p>
        </w:tc>
        <w:tc>
          <w:tcPr>
            <w:tcW w:w="1644" w:type="dxa"/>
            <w:tcBorders>
              <w:top w:val="single" w:sz="8" w:space="0" w:color="auto"/>
            </w:tcBorders>
            <w:noWrap/>
            <w:hideMark/>
          </w:tcPr>
          <w:p w14:paraId="5FC1BE64" w14:textId="2D1D7E37" w:rsidR="000C08EC" w:rsidRPr="000C08EC" w:rsidRDefault="000C08EC" w:rsidP="000C08EC">
            <w:r w:rsidRPr="000C08EC">
              <w:t>40%</w:t>
            </w:r>
          </w:p>
        </w:tc>
        <w:tc>
          <w:tcPr>
            <w:tcW w:w="1644" w:type="dxa"/>
            <w:tcBorders>
              <w:top w:val="single" w:sz="8" w:space="0" w:color="auto"/>
            </w:tcBorders>
            <w:noWrap/>
            <w:hideMark/>
          </w:tcPr>
          <w:p w14:paraId="26B1EB01" w14:textId="77777777" w:rsidR="000C08EC" w:rsidRPr="000C08EC" w:rsidRDefault="000C08EC" w:rsidP="000C08EC">
            <w:r w:rsidRPr="000C08EC">
              <w:t>0%</w:t>
            </w:r>
          </w:p>
        </w:tc>
        <w:tc>
          <w:tcPr>
            <w:tcW w:w="2304" w:type="dxa"/>
            <w:tcBorders>
              <w:top w:val="single" w:sz="8" w:space="0" w:color="auto"/>
            </w:tcBorders>
            <w:noWrap/>
            <w:hideMark/>
          </w:tcPr>
          <w:p w14:paraId="129155B1" w14:textId="77777777" w:rsidR="000C08EC" w:rsidRPr="000C08EC" w:rsidRDefault="000C08EC" w:rsidP="000C08EC">
            <w:r w:rsidRPr="000C08EC">
              <w:t>9%</w:t>
            </w:r>
          </w:p>
        </w:tc>
        <w:tc>
          <w:tcPr>
            <w:tcW w:w="1644" w:type="dxa"/>
            <w:tcBorders>
              <w:top w:val="single" w:sz="8" w:space="0" w:color="auto"/>
            </w:tcBorders>
            <w:noWrap/>
            <w:hideMark/>
          </w:tcPr>
          <w:p w14:paraId="6C910FFC" w14:textId="77777777" w:rsidR="000C08EC" w:rsidRPr="000C08EC" w:rsidRDefault="000C08EC" w:rsidP="000C08EC">
            <w:r w:rsidRPr="000C08EC">
              <w:t>13%</w:t>
            </w:r>
          </w:p>
        </w:tc>
      </w:tr>
      <w:tr w:rsidR="000C08EC" w:rsidRPr="000C08EC" w14:paraId="7AB8EE2C" w14:textId="77777777" w:rsidTr="000C08EC">
        <w:trPr>
          <w:trHeight w:val="255"/>
        </w:trPr>
        <w:tc>
          <w:tcPr>
            <w:tcW w:w="1644" w:type="dxa"/>
            <w:tcBorders>
              <w:bottom w:val="single" w:sz="18" w:space="0" w:color="auto"/>
            </w:tcBorders>
          </w:tcPr>
          <w:p w14:paraId="7763285B" w14:textId="68F2AC38" w:rsidR="000C08EC" w:rsidRPr="000C08EC" w:rsidRDefault="000C08EC" w:rsidP="000C08EC">
            <w:r>
              <w:t>Other</w:t>
            </w:r>
          </w:p>
        </w:tc>
        <w:tc>
          <w:tcPr>
            <w:tcW w:w="1644" w:type="dxa"/>
            <w:tcBorders>
              <w:bottom w:val="single" w:sz="18" w:space="0" w:color="auto"/>
            </w:tcBorders>
            <w:noWrap/>
            <w:hideMark/>
          </w:tcPr>
          <w:p w14:paraId="0A64EE05" w14:textId="459EC7C8" w:rsidR="000C08EC" w:rsidRPr="000C08EC" w:rsidRDefault="000C08EC" w:rsidP="000C08EC">
            <w:r w:rsidRPr="000C08EC">
              <w:t>60%</w:t>
            </w:r>
          </w:p>
        </w:tc>
        <w:tc>
          <w:tcPr>
            <w:tcW w:w="1644" w:type="dxa"/>
            <w:tcBorders>
              <w:bottom w:val="single" w:sz="18" w:space="0" w:color="auto"/>
            </w:tcBorders>
            <w:noWrap/>
            <w:hideMark/>
          </w:tcPr>
          <w:p w14:paraId="5D0BDC07" w14:textId="77777777" w:rsidR="000C08EC" w:rsidRPr="000C08EC" w:rsidRDefault="000C08EC" w:rsidP="000C08EC">
            <w:r w:rsidRPr="000C08EC">
              <w:t>100%</w:t>
            </w:r>
          </w:p>
        </w:tc>
        <w:tc>
          <w:tcPr>
            <w:tcW w:w="2304" w:type="dxa"/>
            <w:tcBorders>
              <w:bottom w:val="single" w:sz="18" w:space="0" w:color="auto"/>
            </w:tcBorders>
            <w:noWrap/>
            <w:hideMark/>
          </w:tcPr>
          <w:p w14:paraId="2B04EACF" w14:textId="77777777" w:rsidR="000C08EC" w:rsidRPr="000C08EC" w:rsidRDefault="000C08EC" w:rsidP="000C08EC">
            <w:r w:rsidRPr="000C08EC">
              <w:t>91%</w:t>
            </w:r>
          </w:p>
        </w:tc>
        <w:tc>
          <w:tcPr>
            <w:tcW w:w="1644" w:type="dxa"/>
            <w:tcBorders>
              <w:bottom w:val="single" w:sz="18" w:space="0" w:color="auto"/>
            </w:tcBorders>
            <w:noWrap/>
            <w:hideMark/>
          </w:tcPr>
          <w:p w14:paraId="76B0E11C" w14:textId="77777777" w:rsidR="000C08EC" w:rsidRPr="000C08EC" w:rsidRDefault="000C08EC" w:rsidP="000C08EC">
            <w:r w:rsidRPr="000C08EC">
              <w:t>88%</w:t>
            </w:r>
          </w:p>
        </w:tc>
      </w:tr>
      <w:tr w:rsidR="000C08EC" w:rsidRPr="000C08EC" w14:paraId="7CBA97BB" w14:textId="77777777" w:rsidTr="000C08EC">
        <w:trPr>
          <w:trHeight w:val="255"/>
        </w:trPr>
        <w:tc>
          <w:tcPr>
            <w:tcW w:w="8884" w:type="dxa"/>
            <w:gridSpan w:val="5"/>
            <w:tcBorders>
              <w:top w:val="single" w:sz="18" w:space="0" w:color="auto"/>
            </w:tcBorders>
          </w:tcPr>
          <w:p w14:paraId="52CF7B50" w14:textId="5DEC7C5E" w:rsidR="000C08EC" w:rsidRPr="000C08EC" w:rsidRDefault="000C08EC" w:rsidP="000C08EC">
            <w:pPr>
              <w:rPr>
                <w:sz w:val="18"/>
                <w:szCs w:val="18"/>
              </w:rPr>
            </w:pPr>
            <w:r w:rsidRPr="000C08EC">
              <w:rPr>
                <w:sz w:val="18"/>
                <w:szCs w:val="18"/>
              </w:rPr>
              <w:t>*Other includes any destination other than ESD.  This will include the small proportion of patients that ‘bounce back’ to the acute ward.</w:t>
            </w:r>
          </w:p>
        </w:tc>
      </w:tr>
    </w:tbl>
    <w:p w14:paraId="309A14BD" w14:textId="7F3435F6" w:rsidR="00D7191D" w:rsidRDefault="00D7191D" w:rsidP="000B2C4E"/>
    <w:p w14:paraId="1107114F" w14:textId="77777777" w:rsidR="00D7191D" w:rsidRDefault="00D7191D">
      <w:r>
        <w:br w:type="page"/>
      </w:r>
    </w:p>
    <w:p w14:paraId="552ECB25" w14:textId="6041E099" w:rsidR="00EB1604" w:rsidRDefault="00D7191D" w:rsidP="00D7191D">
      <w:pPr>
        <w:pStyle w:val="Heading1"/>
      </w:pPr>
      <w:r>
        <w:lastRenderedPageBreak/>
        <w:t>Supplementary Results</w:t>
      </w:r>
    </w:p>
    <w:p w14:paraId="572FCFC0" w14:textId="2114B9FD" w:rsidR="00D7191D" w:rsidRDefault="00D7191D" w:rsidP="00D7191D">
      <w:pPr>
        <w:pStyle w:val="Heading2"/>
      </w:pPr>
      <w:r>
        <w:t>Effect of complex neurological patients on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1807"/>
        <w:gridCol w:w="1807"/>
        <w:gridCol w:w="1808"/>
        <w:gridCol w:w="1807"/>
      </w:tblGrid>
      <w:tr w:rsidR="00D7191D" w14:paraId="48F1A579" w14:textId="77777777" w:rsidTr="001F71F0">
        <w:tc>
          <w:tcPr>
            <w:tcW w:w="9026" w:type="dxa"/>
            <w:gridSpan w:val="5"/>
            <w:tcBorders>
              <w:bottom w:val="single" w:sz="12" w:space="0" w:color="auto"/>
            </w:tcBorders>
          </w:tcPr>
          <w:p w14:paraId="59CDD859" w14:textId="06183422" w:rsidR="00D7191D" w:rsidRPr="007C507F" w:rsidRDefault="00D7191D" w:rsidP="00D7191D">
            <w:pPr>
              <w:jc w:val="center"/>
              <w:rPr>
                <w:b/>
                <w:sz w:val="20"/>
              </w:rPr>
            </w:pPr>
            <w:r>
              <w:t xml:space="preserve">Table </w:t>
            </w:r>
            <w:fldSimple w:instr=" SEQ Table \* ARABIC ">
              <w:r>
                <w:rPr>
                  <w:noProof/>
                </w:rPr>
                <w:t>2</w:t>
              </w:r>
            </w:fldSimple>
            <w:r>
              <w:t>: Likelihood of delay.  Current admissions versus No Complex neurological patients</w:t>
            </w:r>
            <w:r>
              <w:rPr>
                <w:b/>
                <w:sz w:val="20"/>
              </w:rPr>
              <w:tab/>
            </w:r>
          </w:p>
        </w:tc>
      </w:tr>
      <w:tr w:rsidR="00D7191D" w14:paraId="352CE535" w14:textId="77777777" w:rsidTr="001F71F0">
        <w:tc>
          <w:tcPr>
            <w:tcW w:w="1797" w:type="dxa"/>
            <w:tcBorders>
              <w:top w:val="single" w:sz="12" w:space="0" w:color="auto"/>
            </w:tcBorders>
          </w:tcPr>
          <w:p w14:paraId="7965F64F" w14:textId="77777777" w:rsidR="00D7191D" w:rsidRPr="007C507F" w:rsidRDefault="00D7191D" w:rsidP="001F71F0">
            <w:pPr>
              <w:jc w:val="center"/>
              <w:rPr>
                <w:b/>
                <w:sz w:val="20"/>
              </w:rPr>
            </w:pPr>
          </w:p>
        </w:tc>
        <w:tc>
          <w:tcPr>
            <w:tcW w:w="3614" w:type="dxa"/>
            <w:gridSpan w:val="2"/>
            <w:tcBorders>
              <w:top w:val="single" w:sz="12" w:space="0" w:color="auto"/>
            </w:tcBorders>
          </w:tcPr>
          <w:p w14:paraId="57A72F5B" w14:textId="77777777" w:rsidR="00D7191D" w:rsidRPr="007C507F" w:rsidRDefault="00D7191D" w:rsidP="001F71F0">
            <w:pPr>
              <w:jc w:val="center"/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 xml:space="preserve">Current </w:t>
            </w:r>
            <w:r>
              <w:rPr>
                <w:b/>
                <w:sz w:val="20"/>
              </w:rPr>
              <w:t>a</w:t>
            </w:r>
            <w:r w:rsidRPr="007C507F">
              <w:rPr>
                <w:b/>
                <w:sz w:val="20"/>
              </w:rPr>
              <w:t>dmissions</w:t>
            </w:r>
          </w:p>
        </w:tc>
        <w:tc>
          <w:tcPr>
            <w:tcW w:w="3615" w:type="dxa"/>
            <w:gridSpan w:val="2"/>
            <w:tcBorders>
              <w:top w:val="single" w:sz="12" w:space="0" w:color="auto"/>
            </w:tcBorders>
          </w:tcPr>
          <w:p w14:paraId="43D09D3C" w14:textId="77941AFA" w:rsidR="00D7191D" w:rsidRPr="007C507F" w:rsidRDefault="00D7191D" w:rsidP="001F71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 Complex neurological</w:t>
            </w:r>
            <w:r w:rsidRPr="007C507F">
              <w:rPr>
                <w:b/>
                <w:sz w:val="20"/>
              </w:rPr>
              <w:tab/>
            </w:r>
          </w:p>
        </w:tc>
      </w:tr>
      <w:tr w:rsidR="00D7191D" w14:paraId="405A4897" w14:textId="77777777" w:rsidTr="001F71F0">
        <w:tc>
          <w:tcPr>
            <w:tcW w:w="1797" w:type="dxa"/>
            <w:tcBorders>
              <w:bottom w:val="single" w:sz="8" w:space="0" w:color="auto"/>
            </w:tcBorders>
          </w:tcPr>
          <w:p w14:paraId="1661F700" w14:textId="77777777" w:rsidR="00D7191D" w:rsidRPr="007C507F" w:rsidRDefault="00D7191D" w:rsidP="001F71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No. a</w:t>
            </w:r>
            <w:r w:rsidRPr="007C507F">
              <w:rPr>
                <w:b/>
                <w:sz w:val="20"/>
              </w:rPr>
              <w:t>cute</w:t>
            </w:r>
            <w:r>
              <w:rPr>
                <w:b/>
                <w:sz w:val="20"/>
              </w:rPr>
              <w:t xml:space="preserve"> beds</w:t>
            </w:r>
          </w:p>
        </w:tc>
        <w:tc>
          <w:tcPr>
            <w:tcW w:w="1807" w:type="dxa"/>
            <w:tcBorders>
              <w:bottom w:val="single" w:sz="8" w:space="0" w:color="auto"/>
            </w:tcBorders>
          </w:tcPr>
          <w:p w14:paraId="474D7F2F" w14:textId="39FF2C15" w:rsidR="00D7191D" w:rsidRPr="007C507F" w:rsidRDefault="00D7191D" w:rsidP="001F71F0">
            <w:pPr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>p(delay)</w:t>
            </w:r>
            <w:r w:rsidR="00035E23">
              <w:rPr>
                <w:b/>
                <w:sz w:val="20"/>
              </w:rPr>
              <w:t>*</w:t>
            </w:r>
          </w:p>
        </w:tc>
        <w:tc>
          <w:tcPr>
            <w:tcW w:w="1807" w:type="dxa"/>
            <w:tcBorders>
              <w:bottom w:val="single" w:sz="8" w:space="0" w:color="auto"/>
            </w:tcBorders>
          </w:tcPr>
          <w:p w14:paraId="03151328" w14:textId="77777777" w:rsidR="00D7191D" w:rsidRPr="007C507F" w:rsidRDefault="00D7191D" w:rsidP="001F71F0">
            <w:pPr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>1 in every n patients delayed</w:t>
            </w:r>
          </w:p>
        </w:tc>
        <w:tc>
          <w:tcPr>
            <w:tcW w:w="1808" w:type="dxa"/>
            <w:tcBorders>
              <w:bottom w:val="single" w:sz="8" w:space="0" w:color="auto"/>
            </w:tcBorders>
          </w:tcPr>
          <w:p w14:paraId="5A8C9A48" w14:textId="765380A3" w:rsidR="00D7191D" w:rsidRPr="007C507F" w:rsidRDefault="00D7191D" w:rsidP="001F71F0">
            <w:pPr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>p(delay)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1807" w:type="dxa"/>
            <w:tcBorders>
              <w:bottom w:val="single" w:sz="8" w:space="0" w:color="auto"/>
            </w:tcBorders>
          </w:tcPr>
          <w:p w14:paraId="5F079133" w14:textId="77777777" w:rsidR="00D7191D" w:rsidRPr="007C507F" w:rsidRDefault="00D7191D" w:rsidP="001F71F0">
            <w:pPr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>1 in every n patients delayed</w:t>
            </w:r>
          </w:p>
        </w:tc>
      </w:tr>
      <w:tr w:rsidR="00D7191D" w14:paraId="295060AA" w14:textId="77777777" w:rsidTr="001F71F0">
        <w:tc>
          <w:tcPr>
            <w:tcW w:w="1797" w:type="dxa"/>
            <w:tcBorders>
              <w:top w:val="single" w:sz="8" w:space="0" w:color="auto"/>
            </w:tcBorders>
          </w:tcPr>
          <w:p w14:paraId="629F9462" w14:textId="77777777" w:rsidR="00D7191D" w:rsidRPr="00067D57" w:rsidRDefault="00D7191D" w:rsidP="001F71F0">
            <w:pPr>
              <w:rPr>
                <w:sz w:val="20"/>
              </w:rPr>
            </w:pPr>
            <w:r w:rsidRPr="00067D57">
              <w:rPr>
                <w:sz w:val="20"/>
              </w:rPr>
              <w:t>10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1F0C510A" w14:textId="1BC0BBFF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368DB384" w14:textId="77777777" w:rsidR="00D7191D" w:rsidRPr="00067D57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08" w:type="dxa"/>
            <w:tcBorders>
              <w:top w:val="single" w:sz="8" w:space="0" w:color="auto"/>
            </w:tcBorders>
          </w:tcPr>
          <w:p w14:paraId="752CA258" w14:textId="27F83951" w:rsidR="00D7191D" w:rsidRPr="00067D57" w:rsidRDefault="008A7992" w:rsidP="008A7992">
            <w:pPr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4C5D108A" w14:textId="7991D3CE" w:rsidR="00D7191D" w:rsidRPr="00067D57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A7992" w14:paraId="23BAB81D" w14:textId="77777777" w:rsidTr="001F71F0">
        <w:tc>
          <w:tcPr>
            <w:tcW w:w="1797" w:type="dxa"/>
            <w:tcBorders>
              <w:top w:val="single" w:sz="8" w:space="0" w:color="auto"/>
            </w:tcBorders>
          </w:tcPr>
          <w:p w14:paraId="47168402" w14:textId="588A4C8B" w:rsidR="008A7992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45D322E2" w14:textId="2F43EF1F" w:rsidR="008A7992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4FEE0FFE" w14:textId="6BBABE79" w:rsidR="008A7992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08" w:type="dxa"/>
            <w:tcBorders>
              <w:top w:val="single" w:sz="8" w:space="0" w:color="auto"/>
            </w:tcBorders>
          </w:tcPr>
          <w:p w14:paraId="7AE85F95" w14:textId="28A12B71" w:rsidR="008A7992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3FA7CEF1" w14:textId="72B28292" w:rsidR="008A7992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D7191D" w14:paraId="61EA017B" w14:textId="77777777" w:rsidTr="001F71F0">
        <w:tc>
          <w:tcPr>
            <w:tcW w:w="1797" w:type="dxa"/>
          </w:tcPr>
          <w:p w14:paraId="0B992E21" w14:textId="77777777" w:rsidR="00D7191D" w:rsidRPr="00067D57" w:rsidRDefault="00D7191D" w:rsidP="001F71F0">
            <w:pPr>
              <w:rPr>
                <w:sz w:val="20"/>
              </w:rPr>
            </w:pPr>
            <w:r w:rsidRPr="00067D57">
              <w:rPr>
                <w:sz w:val="20"/>
              </w:rPr>
              <w:t>12</w:t>
            </w:r>
          </w:p>
        </w:tc>
        <w:tc>
          <w:tcPr>
            <w:tcW w:w="1807" w:type="dxa"/>
          </w:tcPr>
          <w:p w14:paraId="0E8B6FB3" w14:textId="78BB9F9B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807" w:type="dxa"/>
          </w:tcPr>
          <w:p w14:paraId="1648D2FD" w14:textId="50E6EC94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08" w:type="dxa"/>
          </w:tcPr>
          <w:p w14:paraId="02D2E6CA" w14:textId="460EB990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807" w:type="dxa"/>
          </w:tcPr>
          <w:p w14:paraId="6FEC93AB" w14:textId="3DF1B450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D7191D" w14:paraId="14564979" w14:textId="77777777" w:rsidTr="001F71F0">
        <w:trPr>
          <w:trHeight w:val="181"/>
        </w:trPr>
        <w:tc>
          <w:tcPr>
            <w:tcW w:w="1797" w:type="dxa"/>
          </w:tcPr>
          <w:p w14:paraId="6947ADEA" w14:textId="77777777" w:rsidR="00D7191D" w:rsidRPr="00067D57" w:rsidRDefault="00D7191D" w:rsidP="001F71F0">
            <w:pPr>
              <w:rPr>
                <w:sz w:val="20"/>
              </w:rPr>
            </w:pPr>
            <w:r w:rsidRPr="00067D57">
              <w:rPr>
                <w:sz w:val="20"/>
              </w:rPr>
              <w:t>13</w:t>
            </w:r>
          </w:p>
        </w:tc>
        <w:tc>
          <w:tcPr>
            <w:tcW w:w="1807" w:type="dxa"/>
          </w:tcPr>
          <w:p w14:paraId="7DE7C8DD" w14:textId="7C9F2339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807" w:type="dxa"/>
          </w:tcPr>
          <w:p w14:paraId="4011C4D7" w14:textId="00172A76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808" w:type="dxa"/>
          </w:tcPr>
          <w:p w14:paraId="04B93E02" w14:textId="13C4A1F3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807" w:type="dxa"/>
          </w:tcPr>
          <w:p w14:paraId="518C744B" w14:textId="798599C7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</w:tr>
      <w:tr w:rsidR="00D7191D" w14:paraId="423ECB0D" w14:textId="77777777" w:rsidTr="001F71F0">
        <w:tc>
          <w:tcPr>
            <w:tcW w:w="1797" w:type="dxa"/>
          </w:tcPr>
          <w:p w14:paraId="4D4D73D5" w14:textId="77777777" w:rsidR="00D7191D" w:rsidRPr="00067D57" w:rsidRDefault="00D7191D" w:rsidP="001F71F0">
            <w:pPr>
              <w:rPr>
                <w:sz w:val="20"/>
              </w:rPr>
            </w:pPr>
            <w:r w:rsidRPr="00067D57">
              <w:rPr>
                <w:sz w:val="20"/>
              </w:rPr>
              <w:t>14</w:t>
            </w:r>
          </w:p>
        </w:tc>
        <w:tc>
          <w:tcPr>
            <w:tcW w:w="1807" w:type="dxa"/>
          </w:tcPr>
          <w:p w14:paraId="2F619A28" w14:textId="15695F20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807" w:type="dxa"/>
          </w:tcPr>
          <w:p w14:paraId="4E63B9F6" w14:textId="06730B65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808" w:type="dxa"/>
          </w:tcPr>
          <w:p w14:paraId="62E1EC81" w14:textId="0688E116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807" w:type="dxa"/>
          </w:tcPr>
          <w:p w14:paraId="103AFE69" w14:textId="4C2FAFBB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D7191D" w14:paraId="19E33AEA" w14:textId="77777777" w:rsidTr="001F71F0">
        <w:tc>
          <w:tcPr>
            <w:tcW w:w="1797" w:type="dxa"/>
          </w:tcPr>
          <w:p w14:paraId="7E008171" w14:textId="77777777" w:rsidR="00D7191D" w:rsidRPr="00067D57" w:rsidRDefault="00D7191D" w:rsidP="001F71F0">
            <w:pPr>
              <w:rPr>
                <w:sz w:val="20"/>
              </w:rPr>
            </w:pPr>
            <w:r w:rsidRPr="00067D57">
              <w:rPr>
                <w:sz w:val="20"/>
              </w:rPr>
              <w:t>15</w:t>
            </w:r>
          </w:p>
        </w:tc>
        <w:tc>
          <w:tcPr>
            <w:tcW w:w="1807" w:type="dxa"/>
          </w:tcPr>
          <w:p w14:paraId="7472D671" w14:textId="5C756F40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807" w:type="dxa"/>
          </w:tcPr>
          <w:p w14:paraId="749999C5" w14:textId="2039CDAF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808" w:type="dxa"/>
          </w:tcPr>
          <w:p w14:paraId="43AD09FC" w14:textId="64946779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807" w:type="dxa"/>
          </w:tcPr>
          <w:p w14:paraId="6064E648" w14:textId="2C526FF0" w:rsidR="00D7191D" w:rsidRPr="00067D57" w:rsidRDefault="008A7992" w:rsidP="001F71F0">
            <w:pPr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D7191D" w14:paraId="1E08D66C" w14:textId="77777777" w:rsidTr="001F71F0">
        <w:tc>
          <w:tcPr>
            <w:tcW w:w="1797" w:type="dxa"/>
            <w:tcBorders>
              <w:bottom w:val="dashSmallGap" w:sz="4" w:space="0" w:color="auto"/>
            </w:tcBorders>
          </w:tcPr>
          <w:p w14:paraId="3D57E5EB" w14:textId="77777777" w:rsidR="00D7191D" w:rsidRPr="00067D57" w:rsidRDefault="00D7191D" w:rsidP="001F71F0">
            <w:pPr>
              <w:rPr>
                <w:sz w:val="20"/>
              </w:rPr>
            </w:pPr>
          </w:p>
        </w:tc>
        <w:tc>
          <w:tcPr>
            <w:tcW w:w="1807" w:type="dxa"/>
            <w:tcBorders>
              <w:bottom w:val="dashSmallGap" w:sz="4" w:space="0" w:color="auto"/>
            </w:tcBorders>
          </w:tcPr>
          <w:p w14:paraId="701C4A13" w14:textId="77777777" w:rsidR="00D7191D" w:rsidRDefault="00D7191D" w:rsidP="001F71F0">
            <w:pPr>
              <w:rPr>
                <w:sz w:val="20"/>
              </w:rPr>
            </w:pPr>
          </w:p>
        </w:tc>
        <w:tc>
          <w:tcPr>
            <w:tcW w:w="1807" w:type="dxa"/>
            <w:tcBorders>
              <w:bottom w:val="dashSmallGap" w:sz="4" w:space="0" w:color="auto"/>
            </w:tcBorders>
          </w:tcPr>
          <w:p w14:paraId="0852B5B7" w14:textId="77777777" w:rsidR="00D7191D" w:rsidRDefault="00D7191D" w:rsidP="001F71F0">
            <w:pPr>
              <w:rPr>
                <w:sz w:val="20"/>
              </w:rPr>
            </w:pPr>
          </w:p>
        </w:tc>
        <w:tc>
          <w:tcPr>
            <w:tcW w:w="1808" w:type="dxa"/>
            <w:tcBorders>
              <w:bottom w:val="dashSmallGap" w:sz="4" w:space="0" w:color="auto"/>
            </w:tcBorders>
          </w:tcPr>
          <w:p w14:paraId="6811D5DD" w14:textId="77777777" w:rsidR="00D7191D" w:rsidRDefault="00D7191D" w:rsidP="001F71F0">
            <w:pPr>
              <w:rPr>
                <w:sz w:val="20"/>
              </w:rPr>
            </w:pPr>
          </w:p>
        </w:tc>
        <w:tc>
          <w:tcPr>
            <w:tcW w:w="1807" w:type="dxa"/>
            <w:tcBorders>
              <w:bottom w:val="dashSmallGap" w:sz="4" w:space="0" w:color="auto"/>
            </w:tcBorders>
          </w:tcPr>
          <w:p w14:paraId="0F467BD2" w14:textId="77777777" w:rsidR="00D7191D" w:rsidRDefault="00D7191D" w:rsidP="001F71F0">
            <w:pPr>
              <w:rPr>
                <w:sz w:val="20"/>
              </w:rPr>
            </w:pPr>
          </w:p>
        </w:tc>
      </w:tr>
      <w:tr w:rsidR="00D7191D" w14:paraId="41901C6E" w14:textId="77777777" w:rsidTr="001F71F0">
        <w:tc>
          <w:tcPr>
            <w:tcW w:w="1797" w:type="dxa"/>
            <w:tcBorders>
              <w:top w:val="dashSmallGap" w:sz="4" w:space="0" w:color="auto"/>
            </w:tcBorders>
          </w:tcPr>
          <w:p w14:paraId="5416AA60" w14:textId="77777777" w:rsidR="00D7191D" w:rsidRPr="007C507F" w:rsidRDefault="00D7191D" w:rsidP="001F71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No. rehab beds</w:t>
            </w:r>
          </w:p>
        </w:tc>
        <w:tc>
          <w:tcPr>
            <w:tcW w:w="1807" w:type="dxa"/>
            <w:tcBorders>
              <w:top w:val="dashSmallGap" w:sz="4" w:space="0" w:color="auto"/>
            </w:tcBorders>
          </w:tcPr>
          <w:p w14:paraId="0493071C" w14:textId="77777777" w:rsidR="00D7191D" w:rsidRPr="007C507F" w:rsidRDefault="00D7191D" w:rsidP="001F71F0">
            <w:pPr>
              <w:rPr>
                <w:b/>
                <w:sz w:val="20"/>
              </w:rPr>
            </w:pPr>
          </w:p>
        </w:tc>
        <w:tc>
          <w:tcPr>
            <w:tcW w:w="1807" w:type="dxa"/>
            <w:tcBorders>
              <w:top w:val="dashSmallGap" w:sz="4" w:space="0" w:color="auto"/>
            </w:tcBorders>
          </w:tcPr>
          <w:p w14:paraId="178475AC" w14:textId="77777777" w:rsidR="00D7191D" w:rsidRPr="007C507F" w:rsidRDefault="00D7191D" w:rsidP="001F71F0">
            <w:pPr>
              <w:rPr>
                <w:b/>
                <w:sz w:val="20"/>
              </w:rPr>
            </w:pPr>
          </w:p>
        </w:tc>
        <w:tc>
          <w:tcPr>
            <w:tcW w:w="1808" w:type="dxa"/>
            <w:tcBorders>
              <w:top w:val="dashSmallGap" w:sz="4" w:space="0" w:color="auto"/>
            </w:tcBorders>
          </w:tcPr>
          <w:p w14:paraId="4FA2F950" w14:textId="77777777" w:rsidR="00D7191D" w:rsidRPr="007C507F" w:rsidRDefault="00D7191D" w:rsidP="001F71F0">
            <w:pPr>
              <w:rPr>
                <w:b/>
                <w:sz w:val="20"/>
              </w:rPr>
            </w:pPr>
          </w:p>
        </w:tc>
        <w:tc>
          <w:tcPr>
            <w:tcW w:w="1807" w:type="dxa"/>
            <w:tcBorders>
              <w:top w:val="dashSmallGap" w:sz="4" w:space="0" w:color="auto"/>
            </w:tcBorders>
          </w:tcPr>
          <w:p w14:paraId="3A4343E3" w14:textId="77777777" w:rsidR="00D7191D" w:rsidRPr="007C507F" w:rsidRDefault="00D7191D" w:rsidP="001F71F0">
            <w:pPr>
              <w:rPr>
                <w:b/>
                <w:sz w:val="20"/>
              </w:rPr>
            </w:pPr>
          </w:p>
        </w:tc>
      </w:tr>
      <w:tr w:rsidR="00D7191D" w14:paraId="78D46994" w14:textId="77777777" w:rsidTr="001F71F0">
        <w:tc>
          <w:tcPr>
            <w:tcW w:w="1797" w:type="dxa"/>
          </w:tcPr>
          <w:p w14:paraId="509F6DF1" w14:textId="77777777" w:rsidR="00D7191D" w:rsidRPr="00067D57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07" w:type="dxa"/>
          </w:tcPr>
          <w:p w14:paraId="0F49A96B" w14:textId="3AD47A97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0.11</w:t>
            </w:r>
          </w:p>
        </w:tc>
        <w:tc>
          <w:tcPr>
            <w:tcW w:w="1807" w:type="dxa"/>
          </w:tcPr>
          <w:p w14:paraId="17F532CF" w14:textId="77777777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08" w:type="dxa"/>
          </w:tcPr>
          <w:p w14:paraId="34AAE6DF" w14:textId="6588D9C3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807" w:type="dxa"/>
          </w:tcPr>
          <w:p w14:paraId="1B67D148" w14:textId="4A96A070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D7191D" w14:paraId="523F6FC6" w14:textId="77777777" w:rsidTr="001F71F0">
        <w:tc>
          <w:tcPr>
            <w:tcW w:w="1797" w:type="dxa"/>
          </w:tcPr>
          <w:p w14:paraId="07E35C56" w14:textId="77777777" w:rsidR="00D7191D" w:rsidRPr="00067D57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07" w:type="dxa"/>
          </w:tcPr>
          <w:p w14:paraId="385A159A" w14:textId="76794CBC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807" w:type="dxa"/>
          </w:tcPr>
          <w:p w14:paraId="72FB7DEC" w14:textId="77777777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08" w:type="dxa"/>
          </w:tcPr>
          <w:p w14:paraId="351AC3CA" w14:textId="47687FD3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807" w:type="dxa"/>
          </w:tcPr>
          <w:p w14:paraId="5ED5FC5D" w14:textId="0F95C454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D7191D" w14:paraId="70FE5AC6" w14:textId="77777777" w:rsidTr="001F71F0">
        <w:tc>
          <w:tcPr>
            <w:tcW w:w="1797" w:type="dxa"/>
          </w:tcPr>
          <w:p w14:paraId="66AFDFA9" w14:textId="77777777" w:rsidR="00D7191D" w:rsidRPr="00067D57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807" w:type="dxa"/>
          </w:tcPr>
          <w:p w14:paraId="04244358" w14:textId="2CB77122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807" w:type="dxa"/>
          </w:tcPr>
          <w:p w14:paraId="7E383E7D" w14:textId="77777777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8" w:type="dxa"/>
          </w:tcPr>
          <w:p w14:paraId="4EC2321A" w14:textId="4C26894D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807" w:type="dxa"/>
          </w:tcPr>
          <w:p w14:paraId="0B08F07B" w14:textId="7F99839C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</w:tr>
      <w:tr w:rsidR="00D7191D" w14:paraId="03AA8763" w14:textId="77777777" w:rsidTr="00D7191D">
        <w:tc>
          <w:tcPr>
            <w:tcW w:w="1797" w:type="dxa"/>
          </w:tcPr>
          <w:p w14:paraId="68ED51B1" w14:textId="77777777" w:rsidR="00D7191D" w:rsidRPr="00067D57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07" w:type="dxa"/>
          </w:tcPr>
          <w:p w14:paraId="7363E590" w14:textId="68DACA2C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807" w:type="dxa"/>
          </w:tcPr>
          <w:p w14:paraId="5A6AC597" w14:textId="77777777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808" w:type="dxa"/>
          </w:tcPr>
          <w:p w14:paraId="4D2B0A7F" w14:textId="7D00D7E6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807" w:type="dxa"/>
          </w:tcPr>
          <w:p w14:paraId="073E7F69" w14:textId="3F5AE13F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D7191D" w:rsidRPr="00D7191D" w14:paraId="610EF29A" w14:textId="77777777" w:rsidTr="00D7191D">
        <w:tc>
          <w:tcPr>
            <w:tcW w:w="1797" w:type="dxa"/>
            <w:tcBorders>
              <w:bottom w:val="single" w:sz="18" w:space="0" w:color="auto"/>
            </w:tcBorders>
          </w:tcPr>
          <w:p w14:paraId="401882D5" w14:textId="77777777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07" w:type="dxa"/>
            <w:tcBorders>
              <w:bottom w:val="single" w:sz="18" w:space="0" w:color="auto"/>
            </w:tcBorders>
          </w:tcPr>
          <w:p w14:paraId="0760031E" w14:textId="032C32F3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807" w:type="dxa"/>
            <w:tcBorders>
              <w:bottom w:val="single" w:sz="18" w:space="0" w:color="auto"/>
            </w:tcBorders>
          </w:tcPr>
          <w:p w14:paraId="0964524B" w14:textId="77777777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808" w:type="dxa"/>
            <w:tcBorders>
              <w:bottom w:val="single" w:sz="18" w:space="0" w:color="auto"/>
            </w:tcBorders>
          </w:tcPr>
          <w:p w14:paraId="68B5CA28" w14:textId="15208186" w:rsidR="00D7191D" w:rsidRDefault="00816D58" w:rsidP="001F71F0">
            <w:pPr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7" w:type="dxa"/>
            <w:tcBorders>
              <w:bottom w:val="single" w:sz="18" w:space="0" w:color="auto"/>
            </w:tcBorders>
          </w:tcPr>
          <w:p w14:paraId="2119423D" w14:textId="1C80052E" w:rsidR="00D7191D" w:rsidRDefault="00D7191D" w:rsidP="001F71F0">
            <w:pPr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</w:tr>
      <w:tr w:rsidR="00D7191D" w14:paraId="10E9B5E6" w14:textId="77777777" w:rsidTr="00D7191D">
        <w:tc>
          <w:tcPr>
            <w:tcW w:w="9026" w:type="dxa"/>
            <w:gridSpan w:val="5"/>
            <w:tcBorders>
              <w:top w:val="single" w:sz="18" w:space="0" w:color="auto"/>
            </w:tcBorders>
          </w:tcPr>
          <w:p w14:paraId="0492DB0A" w14:textId="7F1FD221" w:rsidR="00D7191D" w:rsidRPr="00D7191D" w:rsidRDefault="00D7191D" w:rsidP="00BE03CB">
            <w:pPr>
              <w:rPr>
                <w:sz w:val="20"/>
              </w:rPr>
            </w:pPr>
            <w:r>
              <w:rPr>
                <w:sz w:val="20"/>
              </w:rPr>
              <w:t xml:space="preserve">*shown to </w:t>
            </w:r>
            <w:r w:rsidR="00BE03CB">
              <w:rPr>
                <w:sz w:val="20"/>
              </w:rPr>
              <w:t>2</w:t>
            </w:r>
            <w:r w:rsidR="008A7992">
              <w:rPr>
                <w:sz w:val="20"/>
              </w:rPr>
              <w:t xml:space="preserve"> decimal places</w:t>
            </w:r>
          </w:p>
        </w:tc>
      </w:tr>
    </w:tbl>
    <w:p w14:paraId="332FE678" w14:textId="77777777" w:rsidR="00D7191D" w:rsidRDefault="00D7191D" w:rsidP="000B2C4E"/>
    <w:p w14:paraId="7AA46AB9" w14:textId="1E88E8B8" w:rsidR="00EB19F7" w:rsidRDefault="00EB19F7" w:rsidP="00EB19F7">
      <w:pPr>
        <w:pStyle w:val="Heading2"/>
      </w:pPr>
      <w:r>
        <w:t>Effect of ring fencing stroke beds on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1807"/>
        <w:gridCol w:w="1807"/>
        <w:gridCol w:w="1808"/>
        <w:gridCol w:w="1807"/>
      </w:tblGrid>
      <w:tr w:rsidR="00EB19F7" w14:paraId="17A851B8" w14:textId="77777777" w:rsidTr="00B06BF2">
        <w:tc>
          <w:tcPr>
            <w:tcW w:w="9026" w:type="dxa"/>
            <w:gridSpan w:val="5"/>
            <w:tcBorders>
              <w:bottom w:val="single" w:sz="12" w:space="0" w:color="auto"/>
            </w:tcBorders>
          </w:tcPr>
          <w:p w14:paraId="1A1AF7FD" w14:textId="58980652" w:rsidR="00EB19F7" w:rsidRPr="007C507F" w:rsidRDefault="00EB19F7" w:rsidP="00EB19F7">
            <w:pPr>
              <w:jc w:val="center"/>
              <w:rPr>
                <w:b/>
                <w:sz w:val="20"/>
              </w:rPr>
            </w:pPr>
            <w:r>
              <w:t>Table 3: Likelihood of delay.  Current admissions versus ring fenced acute stroke beds</w:t>
            </w:r>
            <w:r>
              <w:rPr>
                <w:b/>
                <w:sz w:val="20"/>
              </w:rPr>
              <w:tab/>
            </w:r>
          </w:p>
        </w:tc>
      </w:tr>
      <w:tr w:rsidR="00EB19F7" w14:paraId="64496CAE" w14:textId="77777777" w:rsidTr="00B06BF2">
        <w:tc>
          <w:tcPr>
            <w:tcW w:w="1797" w:type="dxa"/>
            <w:tcBorders>
              <w:top w:val="single" w:sz="12" w:space="0" w:color="auto"/>
            </w:tcBorders>
          </w:tcPr>
          <w:p w14:paraId="2F53CB26" w14:textId="77777777" w:rsidR="00EB19F7" w:rsidRPr="007C507F" w:rsidRDefault="00EB19F7" w:rsidP="00B06BF2">
            <w:pPr>
              <w:jc w:val="center"/>
              <w:rPr>
                <w:b/>
                <w:sz w:val="20"/>
              </w:rPr>
            </w:pPr>
          </w:p>
        </w:tc>
        <w:tc>
          <w:tcPr>
            <w:tcW w:w="3614" w:type="dxa"/>
            <w:gridSpan w:val="2"/>
            <w:tcBorders>
              <w:top w:val="single" w:sz="12" w:space="0" w:color="auto"/>
            </w:tcBorders>
          </w:tcPr>
          <w:p w14:paraId="3CA53956" w14:textId="77777777" w:rsidR="00EB19F7" w:rsidRPr="007C507F" w:rsidRDefault="00EB19F7" w:rsidP="00B06BF2">
            <w:pPr>
              <w:jc w:val="center"/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 xml:space="preserve">Current </w:t>
            </w:r>
            <w:r>
              <w:rPr>
                <w:b/>
                <w:sz w:val="20"/>
              </w:rPr>
              <w:t>a</w:t>
            </w:r>
            <w:r w:rsidRPr="007C507F">
              <w:rPr>
                <w:b/>
                <w:sz w:val="20"/>
              </w:rPr>
              <w:t>dmissions</w:t>
            </w:r>
          </w:p>
        </w:tc>
        <w:tc>
          <w:tcPr>
            <w:tcW w:w="3615" w:type="dxa"/>
            <w:gridSpan w:val="2"/>
            <w:tcBorders>
              <w:top w:val="single" w:sz="12" w:space="0" w:color="auto"/>
            </w:tcBorders>
          </w:tcPr>
          <w:p w14:paraId="29956B7D" w14:textId="5B376555" w:rsidR="00EB19F7" w:rsidRPr="007C507F" w:rsidRDefault="00EB19F7" w:rsidP="00B06B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Ring fenced acute beds</w:t>
            </w:r>
            <w:r w:rsidRPr="007C507F">
              <w:rPr>
                <w:b/>
                <w:sz w:val="20"/>
              </w:rPr>
              <w:tab/>
            </w:r>
          </w:p>
        </w:tc>
      </w:tr>
      <w:tr w:rsidR="00EB19F7" w14:paraId="7B8392E4" w14:textId="77777777" w:rsidTr="00B06BF2">
        <w:tc>
          <w:tcPr>
            <w:tcW w:w="1797" w:type="dxa"/>
            <w:tcBorders>
              <w:bottom w:val="single" w:sz="8" w:space="0" w:color="auto"/>
            </w:tcBorders>
          </w:tcPr>
          <w:p w14:paraId="6FDB39FB" w14:textId="77777777" w:rsidR="00EB19F7" w:rsidRPr="007C507F" w:rsidRDefault="00EB19F7" w:rsidP="00B06BF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No. a</w:t>
            </w:r>
            <w:r w:rsidRPr="007C507F">
              <w:rPr>
                <w:b/>
                <w:sz w:val="20"/>
              </w:rPr>
              <w:t>cute</w:t>
            </w:r>
            <w:r>
              <w:rPr>
                <w:b/>
                <w:sz w:val="20"/>
              </w:rPr>
              <w:t xml:space="preserve"> beds</w:t>
            </w:r>
          </w:p>
        </w:tc>
        <w:tc>
          <w:tcPr>
            <w:tcW w:w="1807" w:type="dxa"/>
            <w:tcBorders>
              <w:bottom w:val="single" w:sz="8" w:space="0" w:color="auto"/>
            </w:tcBorders>
          </w:tcPr>
          <w:p w14:paraId="484C4C2B" w14:textId="77777777" w:rsidR="00EB19F7" w:rsidRPr="007C507F" w:rsidRDefault="00EB19F7" w:rsidP="00B06BF2">
            <w:pPr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>p(delay)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1807" w:type="dxa"/>
            <w:tcBorders>
              <w:bottom w:val="single" w:sz="8" w:space="0" w:color="auto"/>
            </w:tcBorders>
          </w:tcPr>
          <w:p w14:paraId="3212DC5F" w14:textId="77777777" w:rsidR="00EB19F7" w:rsidRPr="007C507F" w:rsidRDefault="00EB19F7" w:rsidP="00B06BF2">
            <w:pPr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>1 in every n patients delayed</w:t>
            </w:r>
          </w:p>
        </w:tc>
        <w:tc>
          <w:tcPr>
            <w:tcW w:w="1808" w:type="dxa"/>
            <w:tcBorders>
              <w:bottom w:val="single" w:sz="8" w:space="0" w:color="auto"/>
            </w:tcBorders>
          </w:tcPr>
          <w:p w14:paraId="189CFEAF" w14:textId="77777777" w:rsidR="00EB19F7" w:rsidRPr="007C507F" w:rsidRDefault="00EB19F7" w:rsidP="00B06BF2">
            <w:pPr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>p(delay)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1807" w:type="dxa"/>
            <w:tcBorders>
              <w:bottom w:val="single" w:sz="8" w:space="0" w:color="auto"/>
            </w:tcBorders>
          </w:tcPr>
          <w:p w14:paraId="59E32EB4" w14:textId="77777777" w:rsidR="00EB19F7" w:rsidRPr="007C507F" w:rsidRDefault="00EB19F7" w:rsidP="00B06BF2">
            <w:pPr>
              <w:rPr>
                <w:b/>
                <w:sz w:val="20"/>
              </w:rPr>
            </w:pPr>
            <w:r w:rsidRPr="007C507F">
              <w:rPr>
                <w:b/>
                <w:sz w:val="20"/>
              </w:rPr>
              <w:t>1 in every n patients delayed</w:t>
            </w:r>
          </w:p>
        </w:tc>
      </w:tr>
      <w:tr w:rsidR="00EB19F7" w14:paraId="1620888F" w14:textId="77777777" w:rsidTr="00B06BF2">
        <w:tc>
          <w:tcPr>
            <w:tcW w:w="1797" w:type="dxa"/>
            <w:tcBorders>
              <w:top w:val="single" w:sz="8" w:space="0" w:color="auto"/>
            </w:tcBorders>
          </w:tcPr>
          <w:p w14:paraId="01A73D6D" w14:textId="77777777" w:rsidR="00EB19F7" w:rsidRPr="00067D57" w:rsidRDefault="00EB19F7" w:rsidP="00B06BF2">
            <w:pPr>
              <w:rPr>
                <w:sz w:val="20"/>
              </w:rPr>
            </w:pPr>
            <w:r w:rsidRPr="00067D57">
              <w:rPr>
                <w:sz w:val="20"/>
              </w:rPr>
              <w:t>10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07EC372C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0C0D4BC9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08" w:type="dxa"/>
            <w:tcBorders>
              <w:top w:val="single" w:sz="8" w:space="0" w:color="auto"/>
            </w:tcBorders>
          </w:tcPr>
          <w:p w14:paraId="752110DB" w14:textId="22810738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109097E9" w14:textId="48FFAB2C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EB19F7" w14:paraId="6681FC4B" w14:textId="77777777" w:rsidTr="00B06BF2">
        <w:tc>
          <w:tcPr>
            <w:tcW w:w="1797" w:type="dxa"/>
            <w:tcBorders>
              <w:top w:val="single" w:sz="8" w:space="0" w:color="auto"/>
            </w:tcBorders>
          </w:tcPr>
          <w:p w14:paraId="7923914A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6489BEB0" w14:textId="77777777" w:rsidR="00EB19F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13655B0E" w14:textId="77777777" w:rsidR="00EB19F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08" w:type="dxa"/>
            <w:tcBorders>
              <w:top w:val="single" w:sz="8" w:space="0" w:color="auto"/>
            </w:tcBorders>
          </w:tcPr>
          <w:p w14:paraId="3262D7E4" w14:textId="4AFEB09B" w:rsidR="00EB19F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807" w:type="dxa"/>
            <w:tcBorders>
              <w:top w:val="single" w:sz="8" w:space="0" w:color="auto"/>
            </w:tcBorders>
          </w:tcPr>
          <w:p w14:paraId="15011B53" w14:textId="1356A07D" w:rsidR="00EB19F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EB19F7" w14:paraId="1106C7C9" w14:textId="77777777" w:rsidTr="00B06BF2">
        <w:tc>
          <w:tcPr>
            <w:tcW w:w="1797" w:type="dxa"/>
          </w:tcPr>
          <w:p w14:paraId="23B8AB7B" w14:textId="77777777" w:rsidR="00EB19F7" w:rsidRPr="00067D57" w:rsidRDefault="00EB19F7" w:rsidP="00B06BF2">
            <w:pPr>
              <w:rPr>
                <w:sz w:val="20"/>
              </w:rPr>
            </w:pPr>
            <w:r w:rsidRPr="00067D57">
              <w:rPr>
                <w:sz w:val="20"/>
              </w:rPr>
              <w:t>12</w:t>
            </w:r>
          </w:p>
        </w:tc>
        <w:tc>
          <w:tcPr>
            <w:tcW w:w="1807" w:type="dxa"/>
          </w:tcPr>
          <w:p w14:paraId="7E97462D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0.06</w:t>
            </w:r>
          </w:p>
        </w:tc>
        <w:tc>
          <w:tcPr>
            <w:tcW w:w="1807" w:type="dxa"/>
          </w:tcPr>
          <w:p w14:paraId="0C6C2AE8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08" w:type="dxa"/>
          </w:tcPr>
          <w:p w14:paraId="2CB6B1D1" w14:textId="27CA0C2B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807" w:type="dxa"/>
          </w:tcPr>
          <w:p w14:paraId="77D066DB" w14:textId="7D57854B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EB19F7" w14:paraId="7E1263C4" w14:textId="77777777" w:rsidTr="00B06BF2">
        <w:trPr>
          <w:trHeight w:val="181"/>
        </w:trPr>
        <w:tc>
          <w:tcPr>
            <w:tcW w:w="1797" w:type="dxa"/>
          </w:tcPr>
          <w:p w14:paraId="4C2B36F8" w14:textId="77777777" w:rsidR="00EB19F7" w:rsidRPr="00067D57" w:rsidRDefault="00EB19F7" w:rsidP="00B06BF2">
            <w:pPr>
              <w:rPr>
                <w:sz w:val="20"/>
              </w:rPr>
            </w:pPr>
            <w:r w:rsidRPr="00067D57">
              <w:rPr>
                <w:sz w:val="20"/>
              </w:rPr>
              <w:t>13</w:t>
            </w:r>
          </w:p>
        </w:tc>
        <w:tc>
          <w:tcPr>
            <w:tcW w:w="1807" w:type="dxa"/>
          </w:tcPr>
          <w:p w14:paraId="30E8B6D7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807" w:type="dxa"/>
          </w:tcPr>
          <w:p w14:paraId="6ABB1B69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808" w:type="dxa"/>
          </w:tcPr>
          <w:p w14:paraId="27178C06" w14:textId="0D4189A4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807" w:type="dxa"/>
          </w:tcPr>
          <w:p w14:paraId="4D6385D7" w14:textId="21A17CB1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EB19F7" w14:paraId="7C426AF1" w14:textId="77777777" w:rsidTr="00B06BF2">
        <w:tc>
          <w:tcPr>
            <w:tcW w:w="1797" w:type="dxa"/>
          </w:tcPr>
          <w:p w14:paraId="228A4E2A" w14:textId="77777777" w:rsidR="00EB19F7" w:rsidRPr="00067D57" w:rsidRDefault="00EB19F7" w:rsidP="00B06BF2">
            <w:pPr>
              <w:rPr>
                <w:sz w:val="20"/>
              </w:rPr>
            </w:pPr>
            <w:r w:rsidRPr="00067D57">
              <w:rPr>
                <w:sz w:val="20"/>
              </w:rPr>
              <w:t>14</w:t>
            </w:r>
          </w:p>
        </w:tc>
        <w:tc>
          <w:tcPr>
            <w:tcW w:w="1807" w:type="dxa"/>
          </w:tcPr>
          <w:p w14:paraId="2EE573C1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807" w:type="dxa"/>
          </w:tcPr>
          <w:p w14:paraId="33968C6E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808" w:type="dxa"/>
          </w:tcPr>
          <w:p w14:paraId="31961F38" w14:textId="0494860B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807" w:type="dxa"/>
          </w:tcPr>
          <w:p w14:paraId="67387737" w14:textId="4B396240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EB19F7" w14:paraId="3D584445" w14:textId="77777777" w:rsidTr="00B06BF2">
        <w:tc>
          <w:tcPr>
            <w:tcW w:w="1797" w:type="dxa"/>
          </w:tcPr>
          <w:p w14:paraId="1B0DAA52" w14:textId="77777777" w:rsidR="00EB19F7" w:rsidRPr="00067D57" w:rsidRDefault="00EB19F7" w:rsidP="00B06BF2">
            <w:pPr>
              <w:rPr>
                <w:sz w:val="20"/>
              </w:rPr>
            </w:pPr>
            <w:r w:rsidRPr="00067D57">
              <w:rPr>
                <w:sz w:val="20"/>
              </w:rPr>
              <w:t>15</w:t>
            </w:r>
          </w:p>
        </w:tc>
        <w:tc>
          <w:tcPr>
            <w:tcW w:w="1807" w:type="dxa"/>
          </w:tcPr>
          <w:p w14:paraId="764BCE8C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1807" w:type="dxa"/>
          </w:tcPr>
          <w:p w14:paraId="553FCAFE" w14:textId="77777777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808" w:type="dxa"/>
          </w:tcPr>
          <w:p w14:paraId="0B5B4F1D" w14:textId="50E70034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7" w:type="dxa"/>
          </w:tcPr>
          <w:p w14:paraId="48F6C109" w14:textId="514E6F92" w:rsidR="00EB19F7" w:rsidRPr="00067D57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</w:tr>
      <w:tr w:rsidR="00EB19F7" w:rsidRPr="00D7191D" w14:paraId="54B15DA5" w14:textId="77777777" w:rsidTr="00B06BF2">
        <w:tc>
          <w:tcPr>
            <w:tcW w:w="1797" w:type="dxa"/>
            <w:tcBorders>
              <w:bottom w:val="single" w:sz="18" w:space="0" w:color="auto"/>
            </w:tcBorders>
          </w:tcPr>
          <w:p w14:paraId="5FB9CC21" w14:textId="39C912B9" w:rsidR="00EB19F7" w:rsidRDefault="00EB19F7" w:rsidP="00B06BF2">
            <w:pPr>
              <w:rPr>
                <w:sz w:val="20"/>
              </w:rPr>
            </w:pPr>
          </w:p>
        </w:tc>
        <w:tc>
          <w:tcPr>
            <w:tcW w:w="1807" w:type="dxa"/>
            <w:tcBorders>
              <w:bottom w:val="single" w:sz="18" w:space="0" w:color="auto"/>
            </w:tcBorders>
          </w:tcPr>
          <w:p w14:paraId="75D8F90F" w14:textId="0616F531" w:rsidR="00EB19F7" w:rsidRDefault="00EB19F7" w:rsidP="00B06BF2">
            <w:pPr>
              <w:rPr>
                <w:sz w:val="20"/>
              </w:rPr>
            </w:pPr>
          </w:p>
        </w:tc>
        <w:tc>
          <w:tcPr>
            <w:tcW w:w="1807" w:type="dxa"/>
            <w:tcBorders>
              <w:bottom w:val="single" w:sz="18" w:space="0" w:color="auto"/>
            </w:tcBorders>
          </w:tcPr>
          <w:p w14:paraId="1FD7A3F2" w14:textId="57738736" w:rsidR="00EB19F7" w:rsidRDefault="00EB19F7" w:rsidP="00B06BF2">
            <w:pPr>
              <w:rPr>
                <w:sz w:val="20"/>
              </w:rPr>
            </w:pPr>
          </w:p>
        </w:tc>
        <w:tc>
          <w:tcPr>
            <w:tcW w:w="1808" w:type="dxa"/>
            <w:tcBorders>
              <w:bottom w:val="single" w:sz="18" w:space="0" w:color="auto"/>
            </w:tcBorders>
          </w:tcPr>
          <w:p w14:paraId="2EB9392E" w14:textId="2DBC0E65" w:rsidR="00EB19F7" w:rsidRDefault="00EB19F7" w:rsidP="00B06BF2">
            <w:pPr>
              <w:rPr>
                <w:sz w:val="20"/>
              </w:rPr>
            </w:pPr>
          </w:p>
        </w:tc>
        <w:tc>
          <w:tcPr>
            <w:tcW w:w="1807" w:type="dxa"/>
            <w:tcBorders>
              <w:bottom w:val="single" w:sz="18" w:space="0" w:color="auto"/>
            </w:tcBorders>
          </w:tcPr>
          <w:p w14:paraId="12D37161" w14:textId="17F85AB2" w:rsidR="00EB19F7" w:rsidRDefault="00EB19F7" w:rsidP="00B06BF2">
            <w:pPr>
              <w:rPr>
                <w:sz w:val="20"/>
              </w:rPr>
            </w:pPr>
          </w:p>
        </w:tc>
      </w:tr>
      <w:tr w:rsidR="00EB19F7" w14:paraId="60268F79" w14:textId="77777777" w:rsidTr="00B06BF2">
        <w:tc>
          <w:tcPr>
            <w:tcW w:w="9026" w:type="dxa"/>
            <w:gridSpan w:val="5"/>
            <w:tcBorders>
              <w:top w:val="single" w:sz="18" w:space="0" w:color="auto"/>
            </w:tcBorders>
          </w:tcPr>
          <w:p w14:paraId="336260C1" w14:textId="77777777" w:rsidR="00EB19F7" w:rsidRPr="00D7191D" w:rsidRDefault="00EB19F7" w:rsidP="00B06BF2">
            <w:pPr>
              <w:rPr>
                <w:sz w:val="20"/>
              </w:rPr>
            </w:pPr>
            <w:r>
              <w:rPr>
                <w:sz w:val="20"/>
              </w:rPr>
              <w:t>*shown to 2 decimal places</w:t>
            </w:r>
          </w:p>
        </w:tc>
      </w:tr>
    </w:tbl>
    <w:p w14:paraId="05549D16" w14:textId="77777777" w:rsidR="00EB19F7" w:rsidRDefault="00EB19F7" w:rsidP="000B2C4E"/>
    <w:p w14:paraId="7DF50AEC" w14:textId="77777777" w:rsidR="00EB19F7" w:rsidRDefault="00EB19F7" w:rsidP="000B2C4E"/>
    <w:sectPr w:rsidR="00EB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195B"/>
    <w:multiLevelType w:val="hybridMultilevel"/>
    <w:tmpl w:val="FECC958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45CF59DC"/>
    <w:multiLevelType w:val="hybridMultilevel"/>
    <w:tmpl w:val="2CF87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6284D"/>
    <w:multiLevelType w:val="hybridMultilevel"/>
    <w:tmpl w:val="15EC770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C6707"/>
    <w:multiLevelType w:val="hybridMultilevel"/>
    <w:tmpl w:val="9C10BC00"/>
    <w:lvl w:ilvl="0" w:tplc="778E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32F90"/>
    <w:multiLevelType w:val="hybridMultilevel"/>
    <w:tmpl w:val="E7C40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6630A"/>
    <w:multiLevelType w:val="hybridMultilevel"/>
    <w:tmpl w:val="D240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Superscrip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dxr2afxmx2zzgewtpuxdas99zzdw9tv50wd&quot;&gt;StrokeEvaluationPaper-recoverd&lt;record-ids&gt;&lt;item&gt;36&lt;/item&gt;&lt;item&gt;43&lt;/item&gt;&lt;item&gt;49&lt;/item&gt;&lt;item&gt;50&lt;/item&gt;&lt;item&gt;94&lt;/item&gt;&lt;item&gt;98&lt;/item&gt;&lt;item&gt;99&lt;/item&gt;&lt;item&gt;124&lt;/item&gt;&lt;item&gt;125&lt;/item&gt;&lt;item&gt;126&lt;/item&gt;&lt;/record-ids&gt;&lt;/item&gt;&lt;/Libraries&gt;"/>
  </w:docVars>
  <w:rsids>
    <w:rsidRoot w:val="00341CB7"/>
    <w:rsid w:val="00005738"/>
    <w:rsid w:val="00031022"/>
    <w:rsid w:val="00035E23"/>
    <w:rsid w:val="00067D57"/>
    <w:rsid w:val="000953AD"/>
    <w:rsid w:val="000B2C4E"/>
    <w:rsid w:val="000C08EC"/>
    <w:rsid w:val="000D3654"/>
    <w:rsid w:val="000D703A"/>
    <w:rsid w:val="000F237B"/>
    <w:rsid w:val="00114799"/>
    <w:rsid w:val="001167F5"/>
    <w:rsid w:val="00117DDA"/>
    <w:rsid w:val="001255FA"/>
    <w:rsid w:val="001B087C"/>
    <w:rsid w:val="001D6A8F"/>
    <w:rsid w:val="002278F0"/>
    <w:rsid w:val="002B13EA"/>
    <w:rsid w:val="002C2EB2"/>
    <w:rsid w:val="003131DC"/>
    <w:rsid w:val="0032203C"/>
    <w:rsid w:val="00336D91"/>
    <w:rsid w:val="00340412"/>
    <w:rsid w:val="00341CB7"/>
    <w:rsid w:val="003E051D"/>
    <w:rsid w:val="00422744"/>
    <w:rsid w:val="004656D6"/>
    <w:rsid w:val="004903B5"/>
    <w:rsid w:val="004B5E69"/>
    <w:rsid w:val="004F34ED"/>
    <w:rsid w:val="005131A9"/>
    <w:rsid w:val="005B5E89"/>
    <w:rsid w:val="005C258F"/>
    <w:rsid w:val="005E3177"/>
    <w:rsid w:val="00605073"/>
    <w:rsid w:val="006464F9"/>
    <w:rsid w:val="00652E3D"/>
    <w:rsid w:val="006665AA"/>
    <w:rsid w:val="006723E0"/>
    <w:rsid w:val="006B306B"/>
    <w:rsid w:val="00716353"/>
    <w:rsid w:val="0071741C"/>
    <w:rsid w:val="007233D0"/>
    <w:rsid w:val="00732C1D"/>
    <w:rsid w:val="007977BA"/>
    <w:rsid w:val="007B1940"/>
    <w:rsid w:val="007C507F"/>
    <w:rsid w:val="007E16AE"/>
    <w:rsid w:val="00816D58"/>
    <w:rsid w:val="00891B0A"/>
    <w:rsid w:val="008A7992"/>
    <w:rsid w:val="008C09F8"/>
    <w:rsid w:val="008F2933"/>
    <w:rsid w:val="008F6E54"/>
    <w:rsid w:val="00987133"/>
    <w:rsid w:val="00992F03"/>
    <w:rsid w:val="009A2C8F"/>
    <w:rsid w:val="00A05CAB"/>
    <w:rsid w:val="00AD2020"/>
    <w:rsid w:val="00AE34F3"/>
    <w:rsid w:val="00B62429"/>
    <w:rsid w:val="00BA200A"/>
    <w:rsid w:val="00BE03CB"/>
    <w:rsid w:val="00BF456C"/>
    <w:rsid w:val="00C223B3"/>
    <w:rsid w:val="00C925B8"/>
    <w:rsid w:val="00CB4DB8"/>
    <w:rsid w:val="00CD36D3"/>
    <w:rsid w:val="00CE7316"/>
    <w:rsid w:val="00CF7991"/>
    <w:rsid w:val="00D45FC0"/>
    <w:rsid w:val="00D7191D"/>
    <w:rsid w:val="00D90103"/>
    <w:rsid w:val="00D90766"/>
    <w:rsid w:val="00D93FD2"/>
    <w:rsid w:val="00E018BC"/>
    <w:rsid w:val="00E2417F"/>
    <w:rsid w:val="00EB1604"/>
    <w:rsid w:val="00EB19F7"/>
    <w:rsid w:val="00F0442F"/>
    <w:rsid w:val="00F21798"/>
    <w:rsid w:val="00F47729"/>
    <w:rsid w:val="00F9559A"/>
    <w:rsid w:val="00FD2B85"/>
    <w:rsid w:val="00FF60CA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D39F"/>
  <w15:docId w15:val="{3CF5933F-D38C-4FC9-ABC9-BC8C77D9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41C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CB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2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925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2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09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167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2F03"/>
    <w:pPr>
      <w:ind w:left="720"/>
      <w:contextualSpacing/>
    </w:pPr>
  </w:style>
  <w:style w:type="paragraph" w:styleId="NoSpacing">
    <w:name w:val="No Spacing"/>
    <w:uiPriority w:val="1"/>
    <w:qFormat/>
    <w:rsid w:val="007C507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25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F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F2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llen@exeter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.worthington@lancaster.ac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omas.monks@soton.ac.uk" TargetMode="External"/><Relationship Id="rId11" Type="http://schemas.openxmlformats.org/officeDocument/2006/relationships/hyperlink" Target="mailto:martinjames@nhs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en.Stein@exeter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pitt@exe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CCDFC-BDA0-42A8-BAF4-03A70335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Monks, Thomas</dc:creator>
  <cp:lastModifiedBy>Monks T.</cp:lastModifiedBy>
  <cp:revision>3</cp:revision>
  <dcterms:created xsi:type="dcterms:W3CDTF">2015-12-18T20:16:00Z</dcterms:created>
  <dcterms:modified xsi:type="dcterms:W3CDTF">2016-01-04T11:58:00Z</dcterms:modified>
</cp:coreProperties>
</file>