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'Spoorongeluk is Centrumknollen niet te verwijten'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6 november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Veghel-Uden EditieOss EditieLangstraat EditieBommelerwaard EditieMeierij EditieDen Bosch Stad EditieTilburg Editie</w:t>
      </w:r>
    </w:p>
    <w:p>
      <w:pPr>
        <w:keepNext w:val="0"/>
        <w:spacing w:after="0" w:line="240" w:lineRule="atLeast"/>
        <w:ind w:right="0"/>
        <w:jc w:val="both"/>
      </w:pPr>
      <w:bookmarkStart w:id="0" w:name="Bookmark_44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Berghemse Centrumknollen zijn 'blij en content' met de conclusie van de Onderzoeksraad voor Veiligheid (OVV). Die stelt dat de club niets te verwijten valt rond het spoorongeluk waarbij de Berghemse carnavalsclub betrokken was. Maar juichen doen ze nog niet.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Willem van Kreij van de Centrumknollen reageert met enige terughoudendheid op de conclusie van de OVV.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clubleden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De trein, de spooroverweginstallatie en de carnavalswagen raakten zwaar beschadigd.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OVV stelt nu dat de carnavalsclub geen blaam treft: ProRail had beter uit moeten leggen waar je allemaal op moet letten bij 'een bijzondere oversteek' op het spoor. Volgens de Onderzoeksraad is nader onderzoek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Kreij: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ter Haar</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'Spoorongeluk is Centrumknollen niet te verwijten'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W-R5N1-JC8X-63R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'Spoorongeluk is Centrumknollen niet te verwijten'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urn:user:PA190865048</vt:lpwstr>
  </property>
</Properties>
</file>