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Maximale taakstraf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Kraneweg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w:t>
      </w:r>
    </w:p>
    <w:p>
      <w:pPr>
        <w:keepNext w:val="0"/>
        <w:spacing w:after="0" w:line="240" w:lineRule="atLeast"/>
        <w:ind w:right="0"/>
        <w:jc w:val="both"/>
      </w:pPr>
      <w:bookmarkStart w:id="0" w:name="Bookmark_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Sandman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Groningen De automobilist die vorig jaar september op de Kraneweg in Groningen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een fietser zwaargewond raakte krijgt de maximale taakstraf van 240 uur.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ontzeggen van de rijbevoegdheid van 360 dagen, waarvan 299 voorwaardelijk heeft niet meteen gevolgen, want de 33-jarige Groninger was zijn rijbewijs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een paar maanden kwijt.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Groningen verwijt hem zeer onvoorzichtig en onoplettend gedrag. De automobilist reed te hard op een drukke weg en bracht de fietser door zijn inhaalactie zwaar lichamelijk letsel toe.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kwam donderdag 14 september vanuit de richting Westerhaven en haalde op de Westersingel, bij de kruising met Kraneweg/Verlengde Visserstraat de stilstaande auto voor hem in. Hij belandde daarbij op de andere weghelft en botste vol op een tegemoetkomende fietser. Het slachtoffer belandde op zijn motorkap en werd meer dan twintig meter weggeslingerd. Hij had onder meer een klaplong en een hersenbloeding en moest ter plekke gereanimeerd worden. De man lag tien dagen in het ziekenhuis, kon zijn masterstudie niet meer vervolgen en kampt nog steeds met de fysieke en psychische gevolgen.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noemde het zelf 'een inschattingsfout', tijdens de zitting twee weken geleden. Hij kon zich volgens eigen zeggen weinig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herinneren, maar meende wel dat hij niet te hard had gereden. Misschien iets, maar niet te veel.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de politie kwam een mogelijke snelheid van tussen de 60 en 80 kilometer per uur, al kon de exacte snelheid niet worden vastgesteld. Een aantal getuigen sprak van een 'hoge snelheid' en 'roekeloos rijgedrag'.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automobilist zei toen dat het kon lijken alsof hij hard reed, omdat zijn auto bij het gas geven een 'knetterend' of 'ronkend' geluid maakte.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vroeg tijdens de rechtszaak om onvoorwaardelijke rijontzegging, omdat de automobilist schuldig was. Iets wat de verdediging bestreed aangezien het een inschattingsfout was en inhalen op die plek niet verboden. Ze vroeg dan ook om vrijspraak, of geldboete of taakstraf met voorwaardelijke rijontzetting. Anders zou de automobilist zijn baan kwijt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Maximale taakstraf na ongeval Kraneweg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M-61T1-DYNS-J36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Maximale taakstraf na ongeval Kraneweg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urn:user:PA190865048</vt:lpwstr>
  </property>
</Properties>
</file>