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VeiligheidNL: In eerste week van oktober bijna 100 fatbikers op spoedeisende hulp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hyperlink r:id="rId9" w:history="1">
        <w:r>
          <w:rPr>
            <w:rFonts w:ascii="arial" w:eastAsia="arial" w:hAnsi="arial" w:cs="arial"/>
            <w:b w:val="0"/>
            <w:i/>
            <w:strike w:val="0"/>
            <w:noProof w:val="0"/>
            <w:color w:val="0077CC"/>
            <w:position w:val="0"/>
            <w:sz w:val="20"/>
            <w:u w:val="single"/>
            <w:vertAlign w:val="baseline"/>
          </w:rPr>
          <w:t>Kamer stemt in met helmplicht en leeftijdsgrens fatbike, minister wacht 'tot de kerst' met reactie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VeiligheidNL: In eerste week van oktober bijna 100 fatbikers op spoedeisende hulp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324-00000-00&amp;context=1519360" TargetMode="External" /><Relationship Id="rId8" Type="http://schemas.openxmlformats.org/officeDocument/2006/relationships/image" Target="media/image1.png" /><Relationship Id="rId9" Type="http://schemas.openxmlformats.org/officeDocument/2006/relationships/hyperlink" Target="https://www.ad.nl/politiek/kamer-stemt-in-met-helmplicht-en-leeftijdsgrens-fatbike-minister-wacht-tot-de-kerst-met-reactie-br~ad9b54b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VeiligheidNL: In eerste week van oktober bijna 100 fatbikers op spoedeisende hulp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urn:user:PA190865048</vt:lpwstr>
  </property>
</Properties>
</file>