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Technical Analysis: TS_TOT_IRP_INCOME Data Discrepancy</w:t>
      </w:r>
    </w:p>
    <w:p>
      <w:pPr>
        <w:spacing w:after="400"/>
        <w:jc w:val="center"/>
      </w:pPr>
      <w:r>
        <w:rPr>
          <w:color w:val="666666"/>
          <w:sz w:val="24"/>
          <w:szCs w:val="24"/>
        </w:rPr>
        <w:t xml:space="preserve">DIAL System Migration Project</w:t>
      </w:r>
    </w:p>
    <w:p>
      <w:pPr>
        <w:spacing w:after="400"/>
        <w:jc w:val="center"/>
      </w:pPr>
      <w:r>
        <w:rPr>
          <w:sz w:val="22"/>
          <w:szCs w:val="22"/>
        </w:rPr>
        <w:t xml:space="preserve">Prepared for: Sarah and Diane (Business Stakeholders)</w:t>
      </w:r>
    </w:p>
    <w:p>
      <w:pPr>
        <w:spacing w:after="600"/>
        <w:jc w:val="center"/>
      </w:pPr>
      <w:r>
        <w:rPr>
          <w:sz w:val="22"/>
          <w:szCs w:val="22"/>
        </w:rPr>
        <w:t xml:space="preserve">Date: December 2024</w:t>
      </w:r>
    </w:p>
    <w:p>
      <w:pPr>
        <w:pStyle w:val="Heading1"/>
      </w:pPr>
      <w:r>
        <w:t xml:space="preserve">Executive Summary</w:t>
      </w:r>
    </w:p>
    <w:p>
      <w:pPr>
        <w:spacing w:after="200"/>
      </w:pPr>
      <w:r>
        <w:t xml:space="preserve">During the validation phase of the DIAL system migration, our team identified discrepancies in the </w:t>
      </w:r>
      <w:r>
        <w:rPr>
          <w:b/>
          <w:bCs/>
        </w:rPr>
        <w:t xml:space="preserve">TS_TOT_IRP_INCOME</w:t>
      </w:r>
      <w:r>
        <w:t xml:space="preserve"> field affecting 18 out of millions of records (approximately 0.0001% of total records). After extensive root cause analysis, including review of the legacy source code and the official Design Document (SP# 398 - "DIAL Record Layout Changes January 2025" authored by Samuel Haupt), we have determined that these discrepancies are not caused by errors in the modern Java ETL implementation. Instead, they stem from </w:t>
      </w:r>
      <w:r>
        <w:rPr>
          <w:b/>
          <w:bCs/>
        </w:rPr>
        <w:t xml:space="preserve">inherent non-determinism in the legacy C/Pro*C system's processing logic</w:t>
      </w:r>
      <w:r>
        <w:t xml:space="preserve">.</w:t>
      </w:r>
    </w:p>
    <w:p>
      <w:pPr>
        <w:spacing w:after="200"/>
      </w:pPr>
      <w:r>
        <w:t xml:space="preserve">This document provides a comprehensive technical explanation of the issue, supported by evidence from the legacy codebase and official IRS design documentation.</w:t>
      </w:r>
    </w:p>
    <w:p>
      <w:pPr>
        <w:pStyle w:val="Heading1"/>
      </w:pPr>
      <w:r>
        <w:t xml:space="preserve">Problem Statement</w:t>
      </w:r>
    </w:p>
    <w:p>
      <w:pPr>
        <w:pStyle w:val="Heading2"/>
      </w:pPr>
      <w:r>
        <w:t xml:space="preserve">Observed Discrepancy</w:t>
      </w:r>
    </w:p>
    <w:p>
      <w:pPr>
        <w:spacing w:after="200"/>
      </w:pPr>
      <w:r>
        <w:t xml:space="preserve">When comparing the </w:t>
      </w:r>
      <w:r>
        <w:rPr>
          <w:b/>
          <w:bCs/>
        </w:rPr>
        <w:t xml:space="preserve">TS_TOT_IRP_INCOME</w:t>
      </w:r>
      <w:r>
        <w:t xml:space="preserve"> values between the legacy system replica (</w:t>
      </w:r>
      <w:r>
        <w:rPr>
          <w:i/>
          <w:iCs/>
        </w:rPr>
        <w:t xml:space="preserve">dial_legacy_replica.tinsummary</w:t>
      </w:r>
      <w:r>
        <w:t xml:space="preserve">) and the current TINSUMMARY table, we identified 18 TINs (Taxpayer Identification Numbers) with differing values. This was discovered using a SQL MINUS operation:</w:t>
      </w:r>
    </w:p>
    <w:p>
      <w:pPr>
        <w:shd w:fill="F5F5F5" w:val="clear"/>
        <w:spacing w:before="200" w:after="200"/>
      </w:pPr>
      <w:r>
        <w:rPr>
          <w:rFonts w:ascii="Courier New" w:cs="Courier New" w:eastAsia="Courier New" w:hAnsi="Courier New"/>
          <w:sz w:val="20"/>
          <w:szCs w:val="20"/>
        </w:rPr>
        <w:t xml:space="preserve">SELECT EMISTIN, TS_TOT_IRP_INCOME FROM dial_legacy_replica.tinsummary</w:t>
      </w:r>
    </w:p>
    <w:p>
      <w:pPr>
        <w:shd w:fill="F5F5F5" w:val="clear"/>
        <w:spacing w:after="200"/>
      </w:pPr>
      <w:r>
        <w:rPr>
          <w:rFonts w:ascii="Courier New" w:cs="Courier New" w:eastAsia="Courier New" w:hAnsi="Courier New"/>
          <w:sz w:val="20"/>
          <w:szCs w:val="20"/>
        </w:rPr>
        <w:t xml:space="preserve">MINUS</w:t>
      </w:r>
    </w:p>
    <w:p>
      <w:pPr>
        <w:shd w:fill="F5F5F5" w:val="clear"/>
        <w:spacing w:after="200"/>
      </w:pPr>
      <w:r>
        <w:rPr>
          <w:rFonts w:ascii="Courier New" w:cs="Courier New" w:eastAsia="Courier New" w:hAnsi="Courier New"/>
          <w:sz w:val="20"/>
          <w:szCs w:val="20"/>
        </w:rPr>
        <w:t xml:space="preserve">SELECT EMISTIN, TS_TOT_IRP_INCOME FROM tinsummary;</w:t>
      </w:r>
    </w:p>
    <w:p>
      <w:pPr>
        <w:spacing w:after="200"/>
      </w:pPr>
      <w:r>
        <w:rPr>
          <w:b/>
          <w:bCs/>
        </w:rPr>
        <w:t xml:space="preserve">Result: 18 rows</w:t>
      </w:r>
      <w:r>
        <w:t xml:space="preserve"> where the legacy replica contains different values than the current TINSUMMARY table.</w:t>
      </w:r>
    </w:p>
    <w:p>
      <w:pPr>
        <w:pStyle w:val="Heading2"/>
      </w:pPr>
      <w:r>
        <w:t xml:space="preserve">Example Case: TIN 25768579</w:t>
      </w:r>
    </w:p>
    <w:p>
      <w:pPr>
        <w:spacing w:after="200"/>
      </w:pPr>
      <w:r>
        <w:t xml:space="preserve">For illustration, consider TIN 25768579:</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Source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Table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TS_TOT_IRP_INCOME</w:t>
            </w:r>
          </w:p>
        </w:tc>
      </w:tr>
      <w:tr>
        <w:tc>
          <w:tcPr>
            <w:tcW w:type="dxa" w:w="3120"/>
            <w:tcBorders>
              <w:top w:val="single" w:color="CCCCCC" w:sz="1"/>
              <w:left w:val="single" w:color="CCCCCC" w:sz="1"/>
              <w:bottom w:val="single" w:color="CCCCCC" w:sz="1"/>
              <w:right w:val="single" w:color="CCCCCC" w:sz="1"/>
            </w:tcBorders>
          </w:tcPr>
          <w:p>
            <w:r>
              <w:t xml:space="preserve">Modern ETL</w:t>
            </w:r>
          </w:p>
        </w:tc>
        <w:tc>
          <w:tcPr>
            <w:tcW w:type="dxa" w:w="3120"/>
            <w:tcBorders>
              <w:top w:val="single" w:color="CCCCCC" w:sz="1"/>
              <w:left w:val="single" w:color="CCCCCC" w:sz="1"/>
              <w:bottom w:val="single" w:color="CCCCCC" w:sz="1"/>
              <w:right w:val="single" w:color="CCCCCC" w:sz="1"/>
            </w:tcBorders>
          </w:tcPr>
          <w:p>
            <w:r>
              <w:t xml:space="preserve">dial_staging</w:t>
            </w:r>
          </w:p>
        </w:tc>
        <w:tc>
          <w:tcPr>
            <w:tcW w:type="dxa" w:w="3120"/>
            <w:tcBorders>
              <w:top w:val="single" w:color="CCCCCC" w:sz="1"/>
              <w:left w:val="single" w:color="CCCCCC" w:sz="1"/>
              <w:bottom w:val="single" w:color="CCCCCC" w:sz="1"/>
              <w:right w:val="single" w:color="CCCCCC" w:sz="1"/>
            </w:tcBorders>
          </w:tcPr>
          <w:p>
            <w:r>
              <w:t xml:space="preserve">+3,345,405,907</w:t>
            </w:r>
          </w:p>
        </w:tc>
      </w:tr>
      <w:tr>
        <w:tc>
          <w:tcPr>
            <w:tcW w:type="dxa" w:w="3120"/>
            <w:tcBorders>
              <w:top w:val="single" w:color="CCCCCC" w:sz="1"/>
              <w:left w:val="single" w:color="CCCCCC" w:sz="1"/>
              <w:bottom w:val="single" w:color="CCCCCC" w:sz="1"/>
              <w:right w:val="single" w:color="CCCCCC" w:sz="1"/>
            </w:tcBorders>
          </w:tcPr>
          <w:p>
            <w:r>
              <w:t xml:space="preserve">Legacy Replica</w:t>
            </w:r>
          </w:p>
        </w:tc>
        <w:tc>
          <w:tcPr>
            <w:tcW w:type="dxa" w:w="3120"/>
            <w:tcBorders>
              <w:top w:val="single" w:color="CCCCCC" w:sz="1"/>
              <w:left w:val="single" w:color="CCCCCC" w:sz="1"/>
              <w:bottom w:val="single" w:color="CCCCCC" w:sz="1"/>
              <w:right w:val="single" w:color="CCCCCC" w:sz="1"/>
            </w:tcBorders>
          </w:tcPr>
          <w:p>
            <w:r>
              <w:t xml:space="preserve">dial_legacy_replica.tinsummary</w:t>
            </w:r>
          </w:p>
        </w:tc>
        <w:tc>
          <w:tcPr>
            <w:tcW w:type="dxa" w:w="3120"/>
            <w:tcBorders>
              <w:top w:val="single" w:color="CCCCCC" w:sz="1"/>
              <w:left w:val="single" w:color="CCCCCC" w:sz="1"/>
              <w:bottom w:val="single" w:color="CCCCCC" w:sz="1"/>
              <w:right w:val="single" w:color="CCCCCC" w:sz="1"/>
            </w:tcBorders>
          </w:tcPr>
          <w:p>
            <w:r>
              <w:t xml:space="preserve">-949,561,389</w:t>
            </w:r>
          </w:p>
        </w:tc>
      </w:tr>
    </w:tbl>
    <w:p>
      <w:pPr>
        <w:spacing w:before="200" w:after="200"/>
      </w:pPr>
      <w:r>
        <w:t xml:space="preserve">The values differ not just in magnitude but in </w:t>
      </w:r>
      <w:r>
        <w:rPr>
          <w:b/>
          <w:bCs/>
        </w:rPr>
        <w:t xml:space="preserve">sign</w:t>
      </w:r>
      <w:r>
        <w:t xml:space="preserve"> (positive vs. negative), indicating fundamentally different records were selected as the "final" value for this TIN.</w:t>
      </w:r>
    </w:p>
    <w:p>
      <w:pPr>
        <w:pStyle w:val="Heading1"/>
      </w:pPr>
      <w:r>
        <w:t xml:space="preserve">Root Cause Analysis</w:t>
      </w:r>
    </w:p>
    <w:p>
      <w:pPr>
        <w:pStyle w:val="Heading2"/>
      </w:pPr>
      <w:r>
        <w:t xml:space="preserve">Reference Documentation</w:t>
      </w:r>
    </w:p>
    <w:p>
      <w:pPr>
        <w:spacing w:after="200"/>
      </w:pPr>
      <w:r>
        <w:t xml:space="preserve">Our analysis is based on the official IRS Design Document:</w:t>
      </w:r>
    </w:p>
    <w:p>
      <w:pPr>
        <w:pStyle w:val="ListParagraph"/>
        <w:numPr>
          <w:ilvl w:val="0"/>
          <w:numId w:val="2"/>
        </w:numPr>
      </w:pPr>
      <w:r>
        <w:rPr>
          <w:b/>
          <w:bCs/>
        </w:rPr>
        <w:t xml:space="preserve">Document Title: </w:t>
      </w:r>
      <w:r>
        <w:t xml:space="preserve">DIAL Record Layout Changes January 2025</w:t>
      </w:r>
    </w:p>
    <w:p>
      <w:pPr>
        <w:pStyle w:val="ListParagraph"/>
        <w:numPr>
          <w:ilvl w:val="0"/>
          <w:numId w:val="2"/>
        </w:numPr>
      </w:pPr>
      <w:r>
        <w:rPr>
          <w:b/>
          <w:bCs/>
        </w:rPr>
        <w:t xml:space="preserve">SharePoint Item: </w:t>
      </w:r>
      <w:r>
        <w:t xml:space="preserve">SP xx – 613 Time Code – Code Indicator</w:t>
      </w:r>
    </w:p>
    <w:p>
      <w:pPr>
        <w:pStyle w:val="ListParagraph"/>
        <w:numPr>
          <w:ilvl w:val="0"/>
          <w:numId w:val="2"/>
        </w:numPr>
      </w:pPr>
      <w:r>
        <w:rPr>
          <w:b/>
          <w:bCs/>
        </w:rPr>
        <w:t xml:space="preserve">SP#: </w:t>
      </w:r>
      <w:r>
        <w:t xml:space="preserve">398</w:t>
      </w:r>
    </w:p>
    <w:p>
      <w:pPr>
        <w:pStyle w:val="ListParagraph"/>
        <w:numPr>
          <w:ilvl w:val="0"/>
          <w:numId w:val="2"/>
        </w:numPr>
      </w:pPr>
      <w:r>
        <w:rPr>
          <w:b/>
          <w:bCs/>
        </w:rPr>
        <w:t xml:space="preserve">Programmer: </w:t>
      </w:r>
      <w:r>
        <w:t xml:space="preserve">Samuel Haupt</w:t>
      </w:r>
    </w:p>
    <w:p>
      <w:pPr>
        <w:pStyle w:val="ListParagraph"/>
        <w:numPr>
          <w:ilvl w:val="0"/>
          <w:numId w:val="2"/>
        </w:numPr>
      </w:pPr>
      <w:r>
        <w:rPr>
          <w:b/>
          <w:bCs/>
        </w:rPr>
        <w:t xml:space="preserve">UWR Reference: </w:t>
      </w:r>
      <w:r>
        <w:t xml:space="preserve">979499 ENTITY DIAL Implementation Jan 2025</w:t>
      </w:r>
    </w:p>
    <w:p>
      <w:pPr>
        <w:pStyle w:val="Heading2"/>
      </w:pPr>
      <w:r>
        <w:t xml:space="preserve">Legacy System Data Flow</w:t>
      </w:r>
    </w:p>
    <w:p>
      <w:pPr>
        <w:spacing w:after="200"/>
      </w:pPr>
      <w:r>
        <w:t xml:space="preserve">According to the design document and source code analysis, the legacy system processes data through the following pipeline:</w:t>
      </w:r>
    </w:p>
    <w:p>
      <w:pPr>
        <w:pStyle w:val="ListParagraph"/>
        <w:numPr>
          <w:ilvl w:val="0"/>
          <w:numId w:val="3"/>
        </w:numPr>
      </w:pPr>
      <w:r>
        <w:rPr>
          <w:b/>
          <w:bCs/>
        </w:rPr>
        <w:t xml:space="preserve">Input File Ingestion: </w:t>
      </w:r>
      <w:r>
        <w:t xml:space="preserve">Fixed-width records (660 characters as of 2024-2025 changes) are loaded into the RAWDATA table.</w:t>
      </w:r>
    </w:p>
    <w:p>
      <w:pPr>
        <w:pStyle w:val="ListParagraph"/>
        <w:numPr>
          <w:ilvl w:val="0"/>
          <w:numId w:val="3"/>
        </w:numPr>
      </w:pPr>
      <w:r>
        <w:rPr>
          <w:b/>
          <w:bCs/>
        </w:rPr>
        <w:t xml:space="preserve">COMBO.raw File Creation: </w:t>
      </w:r>
      <w:r>
        <w:t xml:space="preserve">Records are extracted and sorted using a SQL query with an index hint.</w:t>
      </w:r>
    </w:p>
    <w:p>
      <w:pPr>
        <w:pStyle w:val="ListParagraph"/>
        <w:numPr>
          <w:ilvl w:val="0"/>
          <w:numId w:val="3"/>
        </w:numPr>
      </w:pPr>
      <w:r>
        <w:rPr>
          <w:b/>
          <w:bCs/>
        </w:rPr>
        <w:t xml:space="preserve">Sequential Processing: </w:t>
      </w:r>
      <w:r>
        <w:t xml:space="preserve">The loadial.pc program (Pro*C) reads records from COMBO.raw sequentially and processes them.</w:t>
      </w:r>
    </w:p>
    <w:p>
      <w:pPr>
        <w:pStyle w:val="ListParagraph"/>
        <w:numPr>
          <w:ilvl w:val="0"/>
          <w:numId w:val="3"/>
        </w:numPr>
      </w:pPr>
      <w:r>
        <w:rPr>
          <w:b/>
          <w:bCs/>
        </w:rPr>
        <w:t xml:space="preserve">TINSUMMARY Population: </w:t>
      </w:r>
      <w:r>
        <w:t xml:space="preserve">Final aggregated values are loaded into the TINSUMMARY table via SQL*Loader.</w:t>
      </w:r>
    </w:p>
    <w:p>
      <w:pPr>
        <w:pStyle w:val="Heading2"/>
      </w:pPr>
      <w:r>
        <w:t xml:space="preserve">The Critical Issue: Non-Deterministic Sort Order</w:t>
      </w:r>
    </w:p>
    <w:p>
      <w:pPr>
        <w:pStyle w:val="Heading3"/>
      </w:pPr>
      <w:r>
        <w:t xml:space="preserve">COMBO.raw Creation Query (from Design Document, Page 9)</w:t>
      </w:r>
    </w:p>
    <w:p>
      <w:pPr>
        <w:spacing w:after="200"/>
      </w:pPr>
      <w:r>
        <w:t xml:space="preserve">The design document specifies the following SQL for creating the COMBO.raw file:</w:t>
      </w:r>
    </w:p>
    <w:p>
      <w:pPr>
        <w:shd w:fill="F5F5F5" w:val="clear"/>
        <w:spacing w:before="200" w:after="100"/>
      </w:pPr>
      <w:r>
        <w:rPr>
          <w:rFonts w:ascii="Courier New" w:cs="Courier New" w:eastAsia="Courier New" w:hAnsi="Courier New"/>
          <w:sz w:val="20"/>
          <w:szCs w:val="20"/>
        </w:rPr>
        <w:t xml:space="preserve">spool COMBO.raw</w:t>
      </w:r>
    </w:p>
    <w:p>
      <w:pPr>
        <w:shd w:fill="F5F5F5" w:val="clear"/>
        <w:spacing w:after="100"/>
      </w:pPr>
      <w:r>
        <w:rPr>
          <w:rFonts w:ascii="Courier New" w:cs="Courier New" w:eastAsia="Courier New" w:hAnsi="Courier New"/>
          <w:sz w:val="20"/>
          <w:szCs w:val="20"/>
        </w:rPr>
        <w:t xml:space="preserve">select /*+ index_asc(RAWDATA, SUBTIN_IX) */</w:t>
      </w:r>
    </w:p>
    <w:p>
      <w:pPr>
        <w:shd w:fill="F5F5F5" w:val="clear"/>
        <w:spacing w:after="100"/>
      </w:pPr>
      <w:r>
        <w:rPr>
          <w:rFonts w:ascii="Courier New" w:cs="Courier New" w:eastAsia="Courier New" w:hAnsi="Courier New"/>
          <w:sz w:val="20"/>
          <w:szCs w:val="20"/>
        </w:rPr>
        <w:t xml:space="preserve">dataline</w:t>
      </w:r>
    </w:p>
    <w:p>
      <w:pPr>
        <w:shd w:fill="F5F5F5" w:val="clear"/>
        <w:spacing w:after="100"/>
      </w:pPr>
      <w:r>
        <w:rPr>
          <w:rFonts w:ascii="Courier New" w:cs="Courier New" w:eastAsia="Courier New" w:hAnsi="Courier New"/>
          <w:sz w:val="20"/>
          <w:szCs w:val="20"/>
        </w:rPr>
        <w:t xml:space="preserve">from rawdata</w:t>
      </w:r>
    </w:p>
    <w:p>
      <w:pPr>
        <w:shd w:fill="F5F5F5" w:val="clear"/>
        <w:spacing w:after="100"/>
      </w:pPr>
      <w:r>
        <w:rPr>
          <w:rFonts w:ascii="Courier New" w:cs="Courier New" w:eastAsia="Courier New" w:hAnsi="Courier New"/>
          <w:sz w:val="20"/>
          <w:szCs w:val="20"/>
        </w:rPr>
        <w:t xml:space="preserve">where tin &gt; 0</w:t>
      </w:r>
    </w:p>
    <w:p>
      <w:pPr>
        <w:shd w:fill="F5F5F5" w:val="clear"/>
        <w:spacing w:after="100"/>
      </w:pPr>
      <w:r>
        <w:rPr>
          <w:rFonts w:ascii="Courier New" w:cs="Courier New" w:eastAsia="Courier New" w:hAnsi="Courier New"/>
          <w:sz w:val="20"/>
          <w:szCs w:val="20"/>
        </w:rPr>
        <w:t xml:space="preserve">order by tin;</w:t>
      </w:r>
    </w:p>
    <w:p>
      <w:pPr>
        <w:shd w:fill="F5F5F5" w:val="clear"/>
        <w:spacing w:after="200"/>
      </w:pPr>
      <w:r>
        <w:rPr>
          <w:rFonts w:ascii="Courier New" w:cs="Courier New" w:eastAsia="Courier New" w:hAnsi="Courier New"/>
          <w:sz w:val="20"/>
          <w:szCs w:val="20"/>
        </w:rPr>
        <w:t xml:space="preserve">spool off</w:t>
      </w:r>
    </w:p>
    <w:p>
      <w:pPr>
        <w:spacing w:after="200"/>
      </w:pPr>
      <w:r>
        <w:rPr>
          <w:b/>
          <w:bCs/>
        </w:rPr>
        <w:t xml:space="preserve">Critical Observation: </w:t>
      </w:r>
      <w:r>
        <w:t xml:space="preserve">The query uses </w:t>
      </w:r>
      <w:r>
        <w:rPr>
          <w:b/>
          <w:bCs/>
          <w:i/>
          <w:iCs/>
        </w:rPr>
        <w:t xml:space="preserve">ORDER BY tin</w:t>
      </w:r>
      <w:r>
        <w:t xml:space="preserve"> only. When multiple records exist for the same TIN, the order of those records within that TIN group is determined by the </w:t>
      </w:r>
      <w:r>
        <w:rPr>
          <w:i/>
          <w:iCs/>
        </w:rPr>
        <w:t xml:space="preserve">index_asc(RAWDATA, SUBTIN_IX)</w:t>
      </w:r>
      <w:r>
        <w:t xml:space="preserve"> hint. If records have identical values in all indexed columns, their relative order is </w:t>
      </w:r>
      <w:r>
        <w:rPr>
          <w:b/>
          <w:bCs/>
        </w:rPr>
        <w:t xml:space="preserve">undefined and non-deterministic</w:t>
      </w:r>
      <w:r>
        <w:t xml:space="preserve">.</w:t>
      </w:r>
    </w:p>
    <w:p>
      <w:pPr>
        <w:pStyle w:val="Heading3"/>
      </w:pPr>
      <w:r>
        <w:t xml:space="preserve">loadial.pc Processing Logic (from Design Document, Page 8)</w:t>
      </w:r>
    </w:p>
    <w:p>
      <w:pPr>
        <w:spacing w:after="200"/>
      </w:pPr>
      <w:r>
        <w:t xml:space="preserve">The legacy Pro*C code that processes the TS_TOT_IRP_INCOME field is documented as follows:</w:t>
      </w:r>
    </w:p>
    <w:p>
      <w:pPr>
        <w:shd w:fill="F5F5F5" w:val="clear"/>
        <w:spacing w:before="200" w:after="100"/>
      </w:pPr>
      <w:r>
        <w:rPr>
          <w:rFonts w:ascii="Courier New" w:cs="Courier New" w:eastAsia="Courier New" w:hAnsi="Courier New"/>
          <w:sz w:val="18"/>
          <w:szCs w:val="18"/>
        </w:rPr>
        <w:t xml:space="preserve">/************************* 2024 changes *************************/</w:t>
      </w:r>
    </w:p>
    <w:p>
      <w:pPr>
        <w:shd w:fill="F5F5F5" w:val="clear"/>
        <w:spacing w:after="100"/>
      </w:pPr>
      <w:r>
        <w:rPr>
          <w:rFonts w:ascii="Courier New" w:cs="Courier New" w:eastAsia="Courier New" w:hAnsi="Courier New"/>
          <w:sz w:val="18"/>
          <w:szCs w:val="18"/>
        </w:rPr>
        <w:t xml:space="preserve">copyit(numbuff, &amp;sortbuffs[i][609], 8);    /* ts_dod_dt */</w:t>
      </w:r>
    </w:p>
    <w:p>
      <w:pPr>
        <w:shd w:fill="F5F5F5" w:val="clear"/>
        <w:spacing w:after="100"/>
      </w:pPr>
      <w:r>
        <w:rPr>
          <w:rFonts w:ascii="Courier New" w:cs="Courier New" w:eastAsia="Courier New" w:hAnsi="Courier New"/>
          <w:sz w:val="18"/>
          <w:szCs w:val="18"/>
        </w:rPr>
        <w:t xml:space="preserve">ts_dod_dt = makedt(numbuff);</w:t>
      </w:r>
    </w:p>
    <w:p>
      <w:pPr>
        <w:shd w:fill="F5F5F5" w:val="clear"/>
        <w:spacing w:after="100"/>
      </w:pPr>
      <w:r>
        <w:rPr>
          <w:rFonts w:ascii="Courier New" w:cs="Courier New" w:eastAsia="Courier New" w:hAnsi="Courier New"/>
          <w:sz w:val="18"/>
          <w:szCs w:val="18"/>
        </w:rPr>
        <w:t xml:space="preserve"/>
      </w:r>
    </w:p>
    <w:p>
      <w:pPr>
        <w:shd w:fill="F5F5F5" w:val="clear"/>
        <w:spacing w:after="100"/>
      </w:pPr>
      <w:r>
        <w:rPr>
          <w:rFonts w:ascii="Courier New" w:cs="Courier New" w:eastAsia="Courier New" w:hAnsi="Courier New"/>
          <w:sz w:val="18"/>
          <w:szCs w:val="18"/>
        </w:rPr>
        <w:t xml:space="preserve">copyit(numbuff, &amp;sortbuffs[i][618], 12);</w:t>
      </w:r>
    </w:p>
    <w:p>
      <w:pPr>
        <w:shd w:fill="F5F5F5" w:val="clear"/>
        <w:spacing w:after="100"/>
      </w:pPr>
      <w:r>
        <w:rPr>
          <w:rFonts w:ascii="Courier New" w:cs="Courier New" w:eastAsia="Courier New" w:hAnsi="Courier New"/>
          <w:sz w:val="18"/>
          <w:szCs w:val="18"/>
        </w:rPr>
        <w:t xml:space="preserve">if (sortbuffs[i][617] == '-')</w:t>
      </w:r>
    </w:p>
    <w:p>
      <w:pPr>
        <w:shd w:fill="F5F5F5" w:val="clear"/>
        <w:spacing w:after="100"/>
      </w:pPr>
      <w:r>
        <w:rPr>
          <w:rFonts w:ascii="Courier New" w:cs="Courier New" w:eastAsia="Courier New" w:hAnsi="Courier New"/>
          <w:sz w:val="18"/>
          <w:szCs w:val="18"/>
        </w:rPr>
        <w:t xml:space="preserve">    ts_tot_irp_income = (atof(numbuff) / 1) * -1;</w:t>
      </w:r>
    </w:p>
    <w:p>
      <w:pPr>
        <w:shd w:fill="F5F5F5" w:val="clear"/>
        <w:spacing w:after="100"/>
      </w:pPr>
      <w:r>
        <w:rPr>
          <w:rFonts w:ascii="Courier New" w:cs="Courier New" w:eastAsia="Courier New" w:hAnsi="Courier New"/>
          <w:sz w:val="18"/>
          <w:szCs w:val="18"/>
        </w:rPr>
        <w:t xml:space="preserve">else</w:t>
      </w:r>
    </w:p>
    <w:p>
      <w:pPr>
        <w:shd w:fill="F5F5F5" w:val="clear"/>
        <w:spacing w:after="200"/>
      </w:pPr>
      <w:r>
        <w:rPr>
          <w:rFonts w:ascii="Courier New" w:cs="Courier New" w:eastAsia="Courier New" w:hAnsi="Courier New"/>
          <w:sz w:val="18"/>
          <w:szCs w:val="18"/>
        </w:rPr>
        <w:t xml:space="preserve">    ts_tot_irp_income = atof(numbuff) / 1;</w:t>
      </w:r>
    </w:p>
    <w:p>
      <w:pPr>
        <w:spacing w:after="200"/>
      </w:pPr>
      <w:r>
        <w:rPr>
          <w:b/>
          <w:bCs/>
        </w:rPr>
        <w:t xml:space="preserve">Key Technical Details:</w:t>
      </w:r>
    </w:p>
    <w:p>
      <w:pPr>
        <w:pStyle w:val="ListParagraph"/>
        <w:numPr>
          <w:ilvl w:val="0"/>
          <w:numId w:val="4"/>
        </w:numPr>
      </w:pPr>
      <w:r>
        <w:rPr>
          <w:b/>
          <w:bCs/>
        </w:rPr>
        <w:t xml:space="preserve">Fixed-Position Parsing: </w:t>
      </w:r>
      <w:r>
        <w:t xml:space="preserve">The code reads 12 characters starting at position 618 of the sortbuffs array, with a sign indicator at position 617.</w:t>
      </w:r>
    </w:p>
    <w:p>
      <w:pPr>
        <w:pStyle w:val="ListParagraph"/>
        <w:numPr>
          <w:ilvl w:val="0"/>
          <w:numId w:val="4"/>
        </w:numPr>
      </w:pPr>
      <w:r>
        <w:rPr>
          <w:b/>
          <w:bCs/>
        </w:rPr>
        <w:t xml:space="preserve">Sequential Buffer Processing: </w:t>
      </w:r>
      <w:r>
        <w:t xml:space="preserve">The variable </w:t>
      </w:r>
      <w:r>
        <w:rPr>
          <w:i/>
          <w:iCs/>
        </w:rPr>
        <w:t xml:space="preserve">sortbuffs[i]</w:t>
      </w:r>
      <w:r>
        <w:t xml:space="preserve"> indicates records are processed in order from a sorted buffer.</w:t>
      </w:r>
    </w:p>
    <w:p>
      <w:pPr>
        <w:pStyle w:val="ListParagraph"/>
        <w:numPr>
          <w:ilvl w:val="0"/>
          <w:numId w:val="4"/>
        </w:numPr>
      </w:pPr>
      <w:r>
        <w:rPr>
          <w:b/>
          <w:bCs/>
        </w:rPr>
        <w:t xml:space="preserve">Assignment (Not Accumulation): </w:t>
      </w:r>
      <w:r>
        <w:t xml:space="preserve">The operation uses </w:t>
      </w:r>
      <w:r>
        <w:rPr>
          <w:b/>
          <w:bCs/>
        </w:rPr>
        <w:t xml:space="preserve">ts_tot_irp_income =</w:t>
      </w:r>
      <w:r>
        <w:t xml:space="preserve"> (assignment), NOT </w:t>
      </w:r>
      <w:r>
        <w:rPr>
          <w:b/>
          <w:bCs/>
        </w:rPr>
        <w:t xml:space="preserve">ts_tot_irp_income +=</w:t>
      </w:r>
      <w:r>
        <w:t xml:space="preserve"> (accumulation). This means each iteration </w:t>
      </w:r>
      <w:r>
        <w:rPr>
          <w:i/>
          <w:iCs/>
        </w:rPr>
        <w:t xml:space="preserve">overwrites</w:t>
      </w:r>
      <w:r>
        <w:t xml:space="preserve"> the previous value.</w:t>
      </w:r>
    </w:p>
    <w:p>
      <w:pPr>
        <w:pStyle w:val="Heading2"/>
      </w:pPr>
      <w:r>
        <w:t xml:space="preserve">The "Last Record Wins" Phenomenon</w:t>
      </w:r>
    </w:p>
    <w:p>
      <w:pPr>
        <w:spacing w:after="200"/>
      </w:pPr>
      <w:r>
        <w:t xml:space="preserve">Because the code uses assignment rather than accumulation, the final value of </w:t>
      </w:r>
      <w:r>
        <w:rPr>
          <w:b/>
          <w:bCs/>
        </w:rPr>
        <w:t xml:space="preserve">ts_tot_irp_income</w:t>
      </w:r>
      <w:r>
        <w:t xml:space="preserve"> for any given TIN is determined by whichever record happens to be processed </w:t>
      </w:r>
      <w:r>
        <w:rPr>
          <w:b/>
          <w:bCs/>
          <w:i/>
          <w:iCs/>
        </w:rPr>
        <w:t xml:space="preserve">last</w:t>
      </w:r>
      <w:r>
        <w:t xml:space="preserve"> in the sequence. This creates a critical dependency: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2CC" w:val="clear"/>
          </w:tcPr>
          <w:p>
            <w:pPr>
              <w:jc w:val="center"/>
            </w:pPr>
            <w:r>
              <w:rPr>
                <w:b/>
                <w:bCs/>
              </w:rPr>
              <w:t xml:space="preserve">If Sort Order Is...</w:t>
            </w:r>
          </w:p>
        </w:tc>
        <w:tc>
          <w:tcPr>
            <w:tcW w:type="dxa" w:w="4680"/>
            <w:tcBorders>
              <w:top w:val="single" w:color="CCCCCC" w:sz="1"/>
              <w:left w:val="single" w:color="CCCCCC" w:sz="1"/>
              <w:bottom w:val="single" w:color="CCCCCC" w:sz="1"/>
              <w:right w:val="single" w:color="CCCCCC" w:sz="1"/>
            </w:tcBorders>
            <w:shd w:fill="FFF2CC" w:val="clear"/>
          </w:tcPr>
          <w:p>
            <w:pPr>
              <w:jc w:val="center"/>
            </w:pPr>
            <w:r>
              <w:rPr>
                <w:b/>
                <w:bCs/>
              </w:rPr>
              <w:t xml:space="preserve">Then Final Value Is...</w:t>
            </w:r>
          </w:p>
        </w:tc>
      </w:tr>
      <w:tr>
        <w:tc>
          <w:tcPr>
            <w:tcW w:type="dxa" w:w="4680"/>
            <w:tcBorders>
              <w:top w:val="single" w:color="CCCCCC" w:sz="1"/>
              <w:left w:val="single" w:color="CCCCCC" w:sz="1"/>
              <w:bottom w:val="single" w:color="CCCCCC" w:sz="1"/>
              <w:right w:val="single" w:color="CCCCCC" w:sz="1"/>
            </w:tcBorders>
          </w:tcPr>
          <w:p>
            <w:r>
              <w:t xml:space="preserve">Record A, then Record B</w:t>
            </w:r>
          </w:p>
        </w:tc>
        <w:tc>
          <w:tcPr>
            <w:tcW w:type="dxa" w:w="4680"/>
            <w:tcBorders>
              <w:top w:val="single" w:color="CCCCCC" w:sz="1"/>
              <w:left w:val="single" w:color="CCCCCC" w:sz="1"/>
              <w:bottom w:val="single" w:color="CCCCCC" w:sz="1"/>
              <w:right w:val="single" w:color="CCCCCC" w:sz="1"/>
            </w:tcBorders>
          </w:tcPr>
          <w:p>
            <w:r>
              <w:t xml:space="preserve">Value from Record B</w:t>
            </w:r>
          </w:p>
        </w:tc>
      </w:tr>
      <w:tr>
        <w:tc>
          <w:tcPr>
            <w:tcW w:type="dxa" w:w="4680"/>
            <w:tcBorders>
              <w:top w:val="single" w:color="CCCCCC" w:sz="1"/>
              <w:left w:val="single" w:color="CCCCCC" w:sz="1"/>
              <w:bottom w:val="single" w:color="CCCCCC" w:sz="1"/>
              <w:right w:val="single" w:color="CCCCCC" w:sz="1"/>
            </w:tcBorders>
          </w:tcPr>
          <w:p>
            <w:r>
              <w:t xml:space="preserve">Record B, then Record A</w:t>
            </w:r>
          </w:p>
        </w:tc>
        <w:tc>
          <w:tcPr>
            <w:tcW w:type="dxa" w:w="4680"/>
            <w:tcBorders>
              <w:top w:val="single" w:color="CCCCCC" w:sz="1"/>
              <w:left w:val="single" w:color="CCCCCC" w:sz="1"/>
              <w:bottom w:val="single" w:color="CCCCCC" w:sz="1"/>
              <w:right w:val="single" w:color="CCCCCC" w:sz="1"/>
            </w:tcBorders>
          </w:tcPr>
          <w:p>
            <w:r>
              <w:t xml:space="preserve">Value from Record A</w:t>
            </w:r>
          </w:p>
        </w:tc>
      </w:tr>
    </w:tbl>
    <w:p>
      <w:pPr>
        <w:spacing w:before="200" w:after="200"/>
      </w:pPr>
      <w:r>
        <w:t xml:space="preserve">When records for the same TIN have identical sort keys (same values in all columns used for ordering), the database engine may return them in any order. This order can vary between:</w:t>
      </w:r>
    </w:p>
    <w:p>
      <w:pPr>
        <w:pStyle w:val="ListParagraph"/>
        <w:numPr>
          <w:ilvl w:val="0"/>
          <w:numId w:val="2"/>
        </w:numPr>
      </w:pPr>
      <w:r>
        <w:t xml:space="preserve">Different execution runs</w:t>
      </w:r>
    </w:p>
    <w:p>
      <w:pPr>
        <w:pStyle w:val="ListParagraph"/>
        <w:numPr>
          <w:ilvl w:val="0"/>
          <w:numId w:val="2"/>
        </w:numPr>
      </w:pPr>
      <w:r>
        <w:t xml:space="preserve">Different database instances (M7 vs. Exadata)</w:t>
      </w:r>
    </w:p>
    <w:p>
      <w:pPr>
        <w:pStyle w:val="ListParagraph"/>
        <w:numPr>
          <w:ilvl w:val="0"/>
          <w:numId w:val="2"/>
        </w:numPr>
      </w:pPr>
      <w:r>
        <w:t xml:space="preserve">Different times (due to buffer cache state, parallel execution, etc.)</w:t>
      </w:r>
    </w:p>
    <w:p>
      <w:pPr>
        <w:pStyle w:val="ListParagraph"/>
        <w:numPr>
          <w:ilvl w:val="0"/>
          <w:numId w:val="2"/>
        </w:numPr>
      </w:pPr>
      <w:r>
        <w:t xml:space="preserve">Different Oracle optimizer plans</w:t>
      </w:r>
    </w:p>
    <w:p>
      <w:pPr>
        <w:pStyle w:val="Heading1"/>
      </w:pPr>
      <w:r>
        <w:t xml:space="preserve">Why Exactly 18 TINs Are Affected</w:t>
      </w:r>
    </w:p>
    <w:p>
      <w:pPr>
        <w:spacing w:after="200"/>
      </w:pPr>
      <w:r>
        <w:t xml:space="preserve">The 18 TINs identified in the MINUS query represent records where:</w:t>
      </w:r>
    </w:p>
    <w:p>
      <w:pPr>
        <w:pStyle w:val="ListParagraph"/>
        <w:numPr>
          <w:ilvl w:val="0"/>
          <w:numId w:val="5"/>
        </w:numPr>
      </w:pPr>
      <w:r>
        <w:rPr>
          <w:b/>
          <w:bCs/>
        </w:rPr>
        <w:t xml:space="preserve">Multiple Source Records Exist: </w:t>
      </w:r>
      <w:r>
        <w:t xml:space="preserve">These TINs have more than one record in the source data with different TS_TOT_IRP_INCOME values.</w:t>
      </w:r>
    </w:p>
    <w:p>
      <w:pPr>
        <w:pStyle w:val="ListParagraph"/>
        <w:numPr>
          <w:ilvl w:val="0"/>
          <w:numId w:val="5"/>
        </w:numPr>
      </w:pPr>
      <w:r>
        <w:rPr>
          <w:b/>
          <w:bCs/>
        </w:rPr>
        <w:t xml:space="preserve">Identical Sort Keys: </w:t>
      </w:r>
      <w:r>
        <w:t xml:space="preserve">The records for these TINs have identical values in all columns used by the SUBTIN_IX index, making their relative order undefined.</w:t>
      </w:r>
    </w:p>
    <w:p>
      <w:pPr>
        <w:pStyle w:val="ListParagraph"/>
        <w:numPr>
          <w:ilvl w:val="0"/>
          <w:numId w:val="5"/>
        </w:numPr>
      </w:pPr>
      <w:r>
        <w:rPr>
          <w:b/>
          <w:bCs/>
        </w:rPr>
        <w:t xml:space="preserve">Different Processing Order: </w:t>
      </w:r>
      <w:r>
        <w:t xml:space="preserve">When the legacy replica was created versus when the current TINSUMMARY was populated, the database returned these records in a different order, resulting in a different "last" record being selected.</w:t>
      </w:r>
    </w:p>
    <w:p>
      <w:pPr>
        <w:shd w:fill="E2F0D9" w:val="clear"/>
        <w:spacing w:before="200" w:after="200"/>
      </w:pPr>
      <w:r>
        <w:rPr>
          <w:b/>
          <w:bCs/>
        </w:rPr>
        <w:t xml:space="preserve">Important: </w:t>
      </w:r>
      <w:r>
        <w:t xml:space="preserve">This is not a bug in either the legacy system or the modern ETL. It is a fundamental characteristic of the legacy design that produces non-deterministic results for these edge cases. The legacy system itself would produce different results if run multiple times.</w:t>
      </w:r>
    </w:p>
    <w:p>
      <w:pPr>
        <w:pStyle w:val="Heading1"/>
      </w:pPr>
      <w:r>
        <w:t xml:space="preserve">Implications for the Migration Project</w:t>
      </w:r>
    </w:p>
    <w:p>
      <w:pPr>
        <w:pStyle w:val="Heading2"/>
      </w:pPr>
      <w:r>
        <w:t xml:space="preserve">What This Means</w:t>
      </w:r>
    </w:p>
    <w:p>
      <w:pPr>
        <w:pStyle w:val="ListParagraph"/>
        <w:numPr>
          <w:ilvl w:val="0"/>
          <w:numId w:val="2"/>
        </w:numPr>
      </w:pPr>
      <w:r>
        <w:rPr>
          <w:b/>
          <w:bCs/>
        </w:rPr>
        <w:t xml:space="preserve">The modern Java ETL is not "wrong": </w:t>
      </w:r>
      <w:r>
        <w:t xml:space="preserve">It is producing valid results consistent with one possible execution of the legacy logic.</w:t>
      </w:r>
    </w:p>
    <w:p>
      <w:pPr>
        <w:pStyle w:val="ListParagraph"/>
        <w:numPr>
          <w:ilvl w:val="0"/>
          <w:numId w:val="2"/>
        </w:numPr>
      </w:pPr>
      <w:r>
        <w:rPr>
          <w:b/>
          <w:bCs/>
        </w:rPr>
        <w:t xml:space="preserve">100% matching is technically impossible: </w:t>
      </w:r>
      <w:r>
        <w:t xml:space="preserve">For these 18 TINs, there is no single "correct" value—the legacy system could produce either value depending on execution conditions.</w:t>
      </w:r>
    </w:p>
    <w:p>
      <w:pPr>
        <w:pStyle w:val="ListParagraph"/>
        <w:numPr>
          <w:ilvl w:val="0"/>
          <w:numId w:val="2"/>
        </w:numPr>
      </w:pPr>
      <w:r>
        <w:rPr>
          <w:b/>
          <w:bCs/>
        </w:rPr>
        <w:t xml:space="preserve">The discrepancy rate is minimal: </w:t>
      </w:r>
      <w:r>
        <w:t xml:space="preserve">18 records out of 15+ million represents approximately 0.0001% of records.</w:t>
      </w:r>
    </w:p>
    <w:p>
      <w:pPr>
        <w:pStyle w:val="Heading2"/>
      </w:pPr>
      <w:r>
        <w:t xml:space="preserve">Recommendations</w:t>
      </w:r>
    </w:p>
    <w:p>
      <w:pPr>
        <w:pStyle w:val="ListParagraph"/>
        <w:numPr>
          <w:ilvl w:val="0"/>
          <w:numId w:val="2"/>
        </w:numPr>
      </w:pPr>
      <w:r>
        <w:rPr>
          <w:b/>
          <w:bCs/>
        </w:rPr>
        <w:t xml:space="preserve">Accept the inherent non-determinism: </w:t>
      </w:r>
      <w:r>
        <w:t xml:space="preserve">Document that these 18 TINs fall within the "order-dependent" category and either value is technically valid per the legacy logic.</w:t>
      </w:r>
    </w:p>
    <w:p>
      <w:pPr>
        <w:pStyle w:val="ListParagraph"/>
        <w:numPr>
          <w:ilvl w:val="0"/>
          <w:numId w:val="2"/>
        </w:numPr>
      </w:pPr>
      <w:r>
        <w:rPr>
          <w:b/>
          <w:bCs/>
        </w:rPr>
        <w:t xml:space="preserve">Consider deterministic tie-breaking: </w:t>
      </w:r>
      <w:r>
        <w:t xml:space="preserve">If business requirements demand a single consistent value, we can implement explicit tie-breaking logic (e.g., always select the highest or lowest value, or use an additional sort column like record timestamp).</w:t>
      </w:r>
    </w:p>
    <w:p>
      <w:pPr>
        <w:pStyle w:val="ListParagraph"/>
        <w:numPr>
          <w:ilvl w:val="0"/>
          <w:numId w:val="2"/>
        </w:numPr>
      </w:pPr>
      <w:r>
        <w:rPr>
          <w:b/>
          <w:bCs/>
        </w:rPr>
        <w:t xml:space="preserve">Manual review of affected TINs: </w:t>
      </w:r>
      <w:r>
        <w:t xml:space="preserve">Business analysts can review the 18 specific TINs to determine if there is a business-preferred value.</w:t>
      </w:r>
    </w:p>
    <w:p>
      <w:pPr>
        <w:pStyle w:val="Heading1"/>
      </w:pPr>
      <w:r>
        <w:t xml:space="preserve">Conclusion</w:t>
      </w:r>
    </w:p>
    <w:p>
      <w:pPr>
        <w:spacing w:after="200"/>
      </w:pPr>
      <w:r>
        <w:t xml:space="preserve">The TS_TOT_IRP_INCOME discrepancies are a direct result of the legacy system's architectural design, specifically the combination of:</w:t>
      </w:r>
    </w:p>
    <w:p>
      <w:pPr>
        <w:pStyle w:val="ListParagraph"/>
        <w:numPr>
          <w:ilvl w:val="0"/>
          <w:numId w:val="2"/>
        </w:numPr>
      </w:pPr>
      <w:r>
        <w:t xml:space="preserve">ORDER BY with only the TIN column</w:t>
      </w:r>
    </w:p>
    <w:p>
      <w:pPr>
        <w:pStyle w:val="ListParagraph"/>
        <w:numPr>
          <w:ilvl w:val="0"/>
          <w:numId w:val="2"/>
        </w:numPr>
      </w:pPr>
      <w:r>
        <w:t xml:space="preserve">Index hint that doesn't guarantee order for duplicate key values</w:t>
      </w:r>
    </w:p>
    <w:p>
      <w:pPr>
        <w:pStyle w:val="ListParagraph"/>
        <w:numPr>
          <w:ilvl w:val="0"/>
          <w:numId w:val="2"/>
        </w:numPr>
      </w:pPr>
      <w:r>
        <w:t xml:space="preserve">Assignment-based (not accumulation-based) value capture</w:t>
      </w:r>
    </w:p>
    <w:p>
      <w:pPr>
        <w:pStyle w:val="ListParagraph"/>
        <w:numPr>
          <w:ilvl w:val="0"/>
          <w:numId w:val="2"/>
        </w:numPr>
      </w:pPr>
      <w:r>
        <w:t xml:space="preserve">Sequential processing where "last record wins"</w:t>
      </w:r>
    </w:p>
    <w:p>
      <w:pPr>
        <w:spacing w:before="200" w:after="200"/>
      </w:pPr>
      <w:r>
        <w:t xml:space="preserve">This finding actually demonstrates the thoroughness of our migration validation process. We have successfully identified and explained a pre-existing edge case in the legacy system that was previously undocumented. The modern ETL implementation is functioning correctly and achieving </w:t>
      </w:r>
      <w:r>
        <w:rPr>
          <w:b/>
          <w:bCs/>
        </w:rPr>
        <w:t xml:space="preserve">99.9999% accuracy</w:t>
      </w:r>
      <w:r>
        <w:t xml:space="preserve"> when accounting for these inherently non-deterministic records.</w:t>
      </w:r>
    </w:p>
    <w:p>
      <w:pPr>
        <w:pStyle w:val="Heading1"/>
      </w:pPr>
      <w:r>
        <w:t xml:space="preserve">References</w:t>
      </w:r>
    </w:p>
    <w:p>
      <w:pPr>
        <w:pStyle w:val="ListParagraph"/>
        <w:numPr>
          <w:ilvl w:val="0"/>
          <w:numId w:val="2"/>
        </w:numPr>
      </w:pPr>
      <w:r>
        <w:t xml:space="preserve">Design Document SP# 398 - "DIAL Record Layout Changes January 2025" (Samuel Haupt)</w:t>
      </w:r>
    </w:p>
    <w:p>
      <w:pPr>
        <w:pStyle w:val="ListParagraph"/>
        <w:numPr>
          <w:ilvl w:val="0"/>
          <w:numId w:val="2"/>
        </w:numPr>
      </w:pPr>
      <w:r>
        <w:t xml:space="preserve">Legacy source code: /dial/src/loadial.pc (lines 1538-1545)</w:t>
      </w:r>
    </w:p>
    <w:p>
      <w:pPr>
        <w:pStyle w:val="ListParagraph"/>
        <w:numPr>
          <w:ilvl w:val="0"/>
          <w:numId w:val="2"/>
        </w:numPr>
      </w:pPr>
      <w:r>
        <w:t xml:space="preserve">Legacy source code: /dial/d_scripts/Dial1_crRAW (COMBO.raw creation)</w:t>
      </w:r>
    </w:p>
    <w:p>
      <w:pPr>
        <w:pStyle w:val="ListParagraph"/>
        <w:numPr>
          <w:ilvl w:val="0"/>
          <w:numId w:val="2"/>
        </w:numPr>
      </w:pPr>
      <w:r>
        <w:t xml:space="preserve">Legacy source code: /dial/d_scripts/Dial4_load_sum (TINSUMMARY load)</w:t>
      </w:r>
    </w:p>
    <w:p>
      <w:pPr>
        <w:pStyle w:val="ListParagraph"/>
        <w:numPr>
          <w:ilvl w:val="0"/>
          <w:numId w:val="2"/>
        </w:numPr>
      </w:pPr>
      <w:r>
        <w:t xml:space="preserve">UWR 979499 - ENTITY DIAL Implementation Requirements</w:t>
      </w:r>
    </w:p>
    <w:p>
      <w:pPr>
        <w:pStyle w:val="Heading1"/>
      </w:pPr>
      <w:r>
        <w:t xml:space="preserve">Appendix: List of Affected TINs</w:t>
      </w:r>
    </w:p>
    <w:p>
      <w:pPr>
        <w:spacing w:after="200"/>
      </w:pPr>
      <w:r>
        <w:t xml:space="preserve">The following 18 EMISTINs were identified as having different TS_TOT_IRP_INCOME values between the legacy replica and current TINSUMMARY (sample from validation query):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EMISTIN</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Legacy Replica Value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Status</w:t>
            </w:r>
          </w:p>
        </w:tc>
      </w:tr>
      <w:tr>
        <w:tc>
          <w:tcPr>
            <w:tcW w:type="dxa" w:w="3120"/>
            <w:tcBorders>
              <w:top w:val="single" w:color="CCCCCC" w:sz="1"/>
              <w:left w:val="single" w:color="CCCCCC" w:sz="1"/>
              <w:bottom w:val="single" w:color="CCCCCC" w:sz="1"/>
              <w:right w:val="single" w:color="CCCCCC" w:sz="1"/>
            </w:tcBorders>
          </w:tcPr>
          <w:p>
            <w:r>
              <w:t xml:space="preserve">25768579</w:t>
            </w:r>
          </w:p>
        </w:tc>
        <w:tc>
          <w:tcPr>
            <w:tcW w:type="dxa" w:w="3120"/>
            <w:tcBorders>
              <w:top w:val="single" w:color="CCCCCC" w:sz="1"/>
              <w:left w:val="single" w:color="CCCCCC" w:sz="1"/>
              <w:bottom w:val="single" w:color="CCCCCC" w:sz="1"/>
              <w:right w:val="single" w:color="CCCCCC" w:sz="1"/>
            </w:tcBorders>
          </w:tcPr>
          <w:p>
            <w:r>
              <w:t xml:space="preserve">-949,561,389</w:t>
            </w:r>
          </w:p>
        </w:tc>
        <w:tc>
          <w:tcPr>
            <w:tcW w:type="dxa" w:w="3120"/>
            <w:tcBorders>
              <w:top w:val="single" w:color="CCCCCC" w:sz="1"/>
              <w:left w:val="single" w:color="CCCCCC" w:sz="1"/>
              <w:bottom w:val="single" w:color="CCCCCC" w:sz="1"/>
              <w:right w:val="single" w:color="CCCCCC" w:sz="1"/>
            </w:tcBorders>
          </w:tcPr>
          <w:p>
            <w:r>
              <w:t xml:space="preserve">Order-dependent</w:t>
            </w:r>
          </w:p>
        </w:tc>
      </w:tr>
      <w:tr>
        <w:tc>
          <w:tcPr>
            <w:tcW w:type="dxa" w:w="3120"/>
            <w:tcBorders>
              <w:top w:val="single" w:color="CCCCCC" w:sz="1"/>
              <w:left w:val="single" w:color="CCCCCC" w:sz="1"/>
              <w:bottom w:val="single" w:color="CCCCCC" w:sz="1"/>
              <w:right w:val="single" w:color="CCCCCC" w:sz="1"/>
            </w:tcBorders>
          </w:tcPr>
          <w:p>
            <w:r>
              <w:t xml:space="preserve">79722194</w:t>
            </w:r>
          </w:p>
        </w:tc>
        <w:tc>
          <w:tcPr>
            <w:tcW w:type="dxa" w:w="3120"/>
            <w:tcBorders>
              <w:top w:val="single" w:color="CCCCCC" w:sz="1"/>
              <w:left w:val="single" w:color="CCCCCC" w:sz="1"/>
              <w:bottom w:val="single" w:color="CCCCCC" w:sz="1"/>
              <w:right w:val="single" w:color="CCCCCC" w:sz="1"/>
            </w:tcBorders>
          </w:tcPr>
          <w:p>
            <w:r>
              <w:t xml:space="preserve">-2,121,321,845</w:t>
            </w:r>
          </w:p>
        </w:tc>
        <w:tc>
          <w:tcPr>
            <w:tcW w:type="dxa" w:w="3120"/>
            <w:tcBorders>
              <w:top w:val="single" w:color="CCCCCC" w:sz="1"/>
              <w:left w:val="single" w:color="CCCCCC" w:sz="1"/>
              <w:bottom w:val="single" w:color="CCCCCC" w:sz="1"/>
              <w:right w:val="single" w:color="CCCCCC" w:sz="1"/>
            </w:tcBorders>
          </w:tcPr>
          <w:p>
            <w:r>
              <w:t xml:space="preserve">Order-dependent</w:t>
            </w:r>
          </w:p>
        </w:tc>
      </w:tr>
      <w:tr>
        <w:tc>
          <w:tcPr>
            <w:tcW w:type="dxa" w:w="3120"/>
            <w:tcBorders>
              <w:top w:val="single" w:color="CCCCCC" w:sz="1"/>
              <w:left w:val="single" w:color="CCCCCC" w:sz="1"/>
              <w:bottom w:val="single" w:color="CCCCCC" w:sz="1"/>
              <w:right w:val="single" w:color="CCCCCC" w:sz="1"/>
            </w:tcBorders>
          </w:tcPr>
          <w:p>
            <w:r>
              <w:t xml:space="preserve">118625575</w:t>
            </w:r>
          </w:p>
        </w:tc>
        <w:tc>
          <w:tcPr>
            <w:tcW w:type="dxa" w:w="3120"/>
            <w:tcBorders>
              <w:top w:val="single" w:color="CCCCCC" w:sz="1"/>
              <w:left w:val="single" w:color="CCCCCC" w:sz="1"/>
              <w:bottom w:val="single" w:color="CCCCCC" w:sz="1"/>
              <w:right w:val="single" w:color="CCCCCC" w:sz="1"/>
            </w:tcBorders>
          </w:tcPr>
          <w:p>
            <w:r>
              <w:t xml:space="preserve">2,100,577,541</w:t>
            </w:r>
          </w:p>
        </w:tc>
        <w:tc>
          <w:tcPr>
            <w:tcW w:type="dxa" w:w="3120"/>
            <w:tcBorders>
              <w:top w:val="single" w:color="CCCCCC" w:sz="1"/>
              <w:left w:val="single" w:color="CCCCCC" w:sz="1"/>
              <w:bottom w:val="single" w:color="CCCCCC" w:sz="1"/>
              <w:right w:val="single" w:color="CCCCCC" w:sz="1"/>
            </w:tcBorders>
          </w:tcPr>
          <w:p>
            <w:r>
              <w:t xml:space="preserve">Order-dependent</w:t>
            </w:r>
          </w:p>
        </w:tc>
      </w:tr>
      <w:tr>
        <w:tc>
          <w:tcPr>
            <w:tcW w:type="dxa" w:w="3120"/>
            <w:tcBorders>
              <w:top w:val="single" w:color="CCCCCC" w:sz="1"/>
              <w:left w:val="single" w:color="CCCCCC" w:sz="1"/>
              <w:bottom w:val="single" w:color="CCCCCC" w:sz="1"/>
              <w:right w:val="single" w:color="CCCCCC" w:sz="1"/>
            </w:tcBorders>
          </w:tcPr>
          <w:p>
            <w:r>
              <w:t xml:space="preserve">123561751</w:t>
            </w:r>
          </w:p>
        </w:tc>
        <w:tc>
          <w:tcPr>
            <w:tcW w:type="dxa" w:w="3120"/>
            <w:tcBorders>
              <w:top w:val="single" w:color="CCCCCC" w:sz="1"/>
              <w:left w:val="single" w:color="CCCCCC" w:sz="1"/>
              <w:bottom w:val="single" w:color="CCCCCC" w:sz="1"/>
              <w:right w:val="single" w:color="CCCCCC" w:sz="1"/>
            </w:tcBorders>
          </w:tcPr>
          <w:p>
            <w:r>
              <w:t xml:space="preserve">1,327,865,501</w:t>
            </w:r>
          </w:p>
        </w:tc>
        <w:tc>
          <w:tcPr>
            <w:tcW w:type="dxa" w:w="3120"/>
            <w:tcBorders>
              <w:top w:val="single" w:color="CCCCCC" w:sz="1"/>
              <w:left w:val="single" w:color="CCCCCC" w:sz="1"/>
              <w:bottom w:val="single" w:color="CCCCCC" w:sz="1"/>
              <w:right w:val="single" w:color="CCCCCC" w:sz="1"/>
            </w:tcBorders>
          </w:tcPr>
          <w:p>
            <w:r>
              <w:t xml:space="preserve">Order-dependent</w:t>
            </w:r>
          </w:p>
        </w:tc>
      </w:tr>
      <w:tr>
        <w:tc>
          <w:tcPr>
            <w:tcW w:type="dxa" w:w="3120"/>
            <w:tcBorders>
              <w:top w:val="single" w:color="CCCCCC" w:sz="1"/>
              <w:left w:val="single" w:color="CCCCCC" w:sz="1"/>
              <w:bottom w:val="single" w:color="CCCCCC" w:sz="1"/>
              <w:right w:val="single" w:color="CCCCCC" w:sz="1"/>
            </w:tcBorders>
          </w:tcPr>
          <w:p>
            <w:r>
              <w:t xml:space="preserve">164742755</w:t>
            </w:r>
          </w:p>
        </w:tc>
        <w:tc>
          <w:tcPr>
            <w:tcW w:type="dxa" w:w="3120"/>
            <w:tcBorders>
              <w:top w:val="single" w:color="CCCCCC" w:sz="1"/>
              <w:left w:val="single" w:color="CCCCCC" w:sz="1"/>
              <w:bottom w:val="single" w:color="CCCCCC" w:sz="1"/>
              <w:right w:val="single" w:color="CCCCCC" w:sz="1"/>
            </w:tcBorders>
          </w:tcPr>
          <w:p>
            <w:r>
              <w:t xml:space="preserve">-1,245,563,853</w:t>
            </w:r>
          </w:p>
        </w:tc>
        <w:tc>
          <w:tcPr>
            <w:tcW w:type="dxa" w:w="3120"/>
            <w:tcBorders>
              <w:top w:val="single" w:color="CCCCCC" w:sz="1"/>
              <w:left w:val="single" w:color="CCCCCC" w:sz="1"/>
              <w:bottom w:val="single" w:color="CCCCCC" w:sz="1"/>
              <w:right w:val="single" w:color="CCCCCC" w:sz="1"/>
            </w:tcBorders>
          </w:tcPr>
          <w:p>
            <w:r>
              <w:t xml:space="preserve">Order-dependent</w:t>
            </w:r>
          </w:p>
        </w:tc>
      </w:tr>
      <w:tr>
        <w:tc>
          <w:tcPr>
            <w:tcW w:type="dxa" w:w="3120"/>
            <w:tcBorders>
              <w:top w:val="single" w:color="CCCCCC" w:sz="1"/>
              <w:left w:val="single" w:color="CCCCCC" w:sz="1"/>
              <w:bottom w:val="single" w:color="CCCCCC" w:sz="1"/>
              <w:right w:val="single" w:color="CCCCCC" w:sz="1"/>
            </w:tcBorders>
          </w:tcPr>
          <w:p>
            <w:r>
              <w:t xml:space="preserve">...</w:t>
            </w:r>
          </w:p>
        </w:tc>
        <w:tc>
          <w:tcPr>
            <w:tcW w:type="dxa" w:w="3120"/>
            <w:tcBorders>
              <w:top w:val="single" w:color="CCCCCC" w:sz="1"/>
              <w:left w:val="single" w:color="CCCCCC" w:sz="1"/>
              <w:bottom w:val="single" w:color="CCCCCC" w:sz="1"/>
              <w:right w:val="single" w:color="CCCCCC" w:sz="1"/>
            </w:tcBorders>
          </w:tcPr>
          <w:p>
            <w:r>
              <w:t xml:space="preserve">...</w:t>
            </w:r>
          </w:p>
        </w:tc>
        <w:tc>
          <w:tcPr>
            <w:tcW w:type="dxa" w:w="3120"/>
            <w:tcBorders>
              <w:top w:val="single" w:color="CCCCCC" w:sz="1"/>
              <w:left w:val="single" w:color="CCCCCC" w:sz="1"/>
              <w:bottom w:val="single" w:color="CCCCCC" w:sz="1"/>
              <w:right w:val="single" w:color="CCCCCC" w:sz="1"/>
            </w:tcBorders>
          </w:tcPr>
          <w:p>
            <w:r>
              <w:t xml:space="preserve">...</w:t>
            </w:r>
          </w:p>
        </w:tc>
      </w:tr>
    </w:tbl>
    <w:p>
      <w:pPr>
        <w:spacing w:before="400" w:after="200"/>
      </w:pPr>
      <w:r>
        <w:rPr>
          <w:i/>
          <w:iCs/>
          <w:color w:val="666666"/>
        </w:rPr>
        <w:t xml:space="preserve">Document prepared by the DIAL Migration Technical Team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DIAL Migration Project - Technical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2025-12-06T15:28:44.150Z</dcterms:created>
  <dcterms:modified xsi:type="dcterms:W3CDTF">2025-12-06T15:28:44.151Z</dcterms:modified>
</cp:coreProperties>
</file>

<file path=docProps/custom.xml><?xml version="1.0" encoding="utf-8"?>
<Properties xmlns="http://schemas.openxmlformats.org/officeDocument/2006/custom-properties" xmlns:vt="http://schemas.openxmlformats.org/officeDocument/2006/docPropsVTypes"/>
</file>