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left"/>
      </w:pPr>
      <w:r>
        <w:rPr>
          <w:b/>
          <w:bCs/>
          <w:color w:val="808080"/>
          <w:sz w:val="22"/>
          <w:szCs w:val="22"/>
        </w:rPr>
        <w:t xml:space="preserve">ENTITY MODERNIZATION</w:t>
      </w:r>
    </w:p>
    <w:p>
      <w:pPr>
        <w:spacing w:after="140"/>
      </w:pPr>
      <w:r>
        <w:rPr>
          <w:b/>
          <w:bCs/>
          <w:color w:val="1F3864"/>
          <w:sz w:val="44"/>
          <w:szCs w:val="44"/>
        </w:rPr>
        <w:t xml:space="preserve">Role-Based Access, Change Role and Change Access</w:t>
      </w:r>
    </w:p>
    <w:p>
      <w:pPr>
        <w:pBdr>
          <w:bottom w:val="single" w:color="1F3864" w:sz="12" w:space="8"/>
        </w:pBdr>
        <w:spacing w:after="400"/>
      </w:pPr>
      <w:r>
        <w:rPr>
          <w:color w:val="404040"/>
          <w:sz w:val="30"/>
          <w:szCs w:val="30"/>
        </w:rPr>
        <w:t xml:space="preserve">Client Findings Analysis and Developer Remediation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Document purpose</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Developer-facing analysis of client findings; root cause assessment and remediation plan</w:t>
            </w:r>
          </w:p>
        </w:tc>
      </w:tr>
      <w:tr>
        <w:tc>
          <w:tcPr>
            <w:tcW w:type="dxa" w:w="2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bCs/>
                <w:sz w:val="18"/>
                <w:szCs w:val="18"/>
              </w:rPr>
              <w:t xml:space="preserve">Prepared for</w:t>
            </w:r>
          </w:p>
        </w:tc>
        <w:tc>
          <w:tcPr>
            <w:tcW w:type="dxa" w:w="69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ENTITY development team</w:t>
            </w:r>
          </w:p>
        </w:tc>
      </w:tr>
      <w:t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Source findings</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MTEST Role-Based Access / Change Role / Change Access testing, 11 August 2026</w:t>
            </w:r>
          </w:p>
        </w:tc>
      </w:tr>
      <w:tr>
        <w:tc>
          <w:tcPr>
            <w:tcW w:type="dxa" w:w="2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bCs/>
                <w:sz w:val="18"/>
                <w:szCs w:val="18"/>
              </w:rPr>
              <w:t xml:space="preserve">Raised by</w:t>
            </w:r>
          </w:p>
        </w:tc>
        <w:tc>
          <w:tcPr>
            <w:tcW w:type="dxa" w:w="69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Sarah Vainer (9 findings, overall result FAIL); Brian Rossell (design change request + 2 additional defects)</w:t>
            </w:r>
          </w:p>
        </w:tc>
      </w:tr>
      <w:t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Environment</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MTEST — National, Area, Territory and Group access; CF and AD organizations</w:t>
            </w:r>
          </w:p>
        </w:tc>
      </w:tr>
      <w:tr>
        <w:tc>
          <w:tcPr>
            <w:tcW w:type="dxa" w:w="2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bCs/>
                <w:sz w:val="18"/>
                <w:szCs w:val="18"/>
              </w:rPr>
              <w:t xml:space="preserve">Related tickets</w:t>
            </w:r>
          </w:p>
        </w:tc>
        <w:tc>
          <w:tcPr>
            <w:tcW w:type="dxa" w:w="69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SP460 (Brian's additions); CCD "loop" defect referenced but not supplied</w:t>
            </w:r>
          </w:p>
        </w:tc>
      </w:tr>
      <w:t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Status</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Draft for developer review — contains open decisions and unverified hypotheses</w:t>
            </w:r>
          </w:p>
        </w:tc>
      </w:tr>
    </w:tbl>
    <w:p>
      <w:pPr>
        <w:spacing w:after="300"/>
      </w:pPr>
      <w:r>
        <w:t xml:space="preserve"/>
      </w:r>
    </w:p>
    <w:p>
      <w:pPr>
        <w:pBdr>
          <w:left w:val="single" w:color="C00000" w:sz="18" w:space="10"/>
        </w:pBdr>
        <w:spacing w:after="160" w:before="140" w:line="276"/>
        <w:ind w:left="200"/>
      </w:pPr>
      <w:r>
        <w:rPr>
          <w:b/>
          <w:bCs/>
          <w:color w:val="C00000"/>
          <w:sz w:val="20"/>
          <w:szCs w:val="20"/>
        </w:rPr>
        <w:t xml:space="preserve">Read this first.  </w:t>
      </w:r>
      <w:r>
        <w:rPr>
          <w:sz w:val="20"/>
          <w:szCs w:val="20"/>
        </w:rPr>
        <w:t xml:space="preserve">Several conclusions in this document are stated as hypotheses, not facts. Section 9 lists the diagnostic checks that must be run before development starts. Do not begin remediation on Root Causes RC-2 or RC-4 until the evidence in Section 9 has been collected — both have plausible alternative explanations, and one of them (stale build or client cache) has produced false defect reports on this project before.</w:t>
      </w:r>
    </w:p>
    <w:p>
      <w:r>
        <w:br w:type="page"/>
      </w:r>
    </w:p>
    <w:p>
      <w:pPr>
        <w:pStyle w:val="Heading1"/>
        <w:pBdr>
          <w:bottom w:val="single" w:color="1F3864" w:sz="6" w:space="4"/>
        </w:pBdr>
        <w:spacing w:after="160" w:before="360"/>
      </w:pPr>
      <w:r>
        <w:rPr>
          <w:b/>
          <w:bCs/>
          <w:color w:val="1F3864"/>
          <w:sz w:val="30"/>
          <w:szCs w:val="30"/>
        </w:rPr>
        <w:t xml:space="preserve">1.  Purpose and Scope</w:t>
      </w:r>
    </w:p>
    <w:p>
      <w:pPr>
        <w:spacing w:after="120" w:line="276"/>
      </w:pPr>
      <w:r>
        <w:rPr>
          <w:b w:val="false"/>
          <w:bCs w:val="false"/>
          <w:i w:val="false"/>
          <w:iCs w:val="false"/>
          <w:sz w:val="20"/>
          <w:szCs w:val="20"/>
        </w:rPr>
        <w:t xml:space="preserve">On 11 August 2026 the client executed a test pass against MTEST covering Role-Based Access, Change Role and Change Access. The overall result was recorded as FAIL, with nine numbered findings. Separately, Brian Rossell circulated a design change describing how he and CCD believe Change Role and Change Access should behave, together with two further defects to be added to ticket SP460.</w:t>
      </w:r>
    </w:p>
    <w:p>
      <w:pPr>
        <w:spacing w:after="120" w:line="276"/>
      </w:pPr>
      <w:r>
        <w:rPr>
          <w:b w:val="false"/>
          <w:bCs w:val="false"/>
          <w:i w:val="false"/>
          <w:iCs w:val="false"/>
          <w:sz w:val="20"/>
          <w:szCs w:val="20"/>
        </w:rPr>
        <w:t xml:space="preserve">This document consolidates both submissions into a single developer-facing analysis. For each item it records what the client observed, what the application currently does and why, whether the item is a defect or a change of specification, and what remediation is proposed.</w:t>
      </w:r>
    </w:p>
    <w:p>
      <w:pPr>
        <w:pStyle w:val="Heading3"/>
        <w:spacing w:after="90" w:before="200"/>
      </w:pPr>
      <w:r>
        <w:rPr>
          <w:b/>
          <w:bCs/>
          <w:color w:val="333333"/>
          <w:sz w:val="21"/>
          <w:szCs w:val="21"/>
        </w:rPr>
        <w:t xml:space="preserve">What this document is not</w:t>
      </w:r>
    </w:p>
    <w:p>
      <w:pPr>
        <w:spacing w:after="120" w:line="276"/>
      </w:pPr>
      <w:r>
        <w:rPr>
          <w:b w:val="false"/>
          <w:bCs w:val="false"/>
          <w:i w:val="false"/>
          <w:iCs w:val="false"/>
          <w:sz w:val="20"/>
          <w:szCs w:val="20"/>
        </w:rPr>
        <w:t xml:space="preserve">It is not a commitment to a delivery date, and it is not a decision record. Four items require the client to decide between mutually incompatible requirements before any code is written; these are isolated in Section 8 rather than resolved here. Developers should not select an interpretation for those items independently.</w:t>
      </w:r>
    </w:p>
    <w:p>
      <w:pPr>
        <w:pStyle w:val="Heading3"/>
        <w:spacing w:after="90" w:before="200"/>
      </w:pPr>
      <w:r>
        <w:rPr>
          <w:b/>
          <w:bCs/>
          <w:color w:val="333333"/>
          <w:sz w:val="21"/>
          <w:szCs w:val="21"/>
        </w:rPr>
        <w:t xml:space="preserve">A note on how the current behaviour arose</w:t>
      </w:r>
    </w:p>
    <w:p>
      <w:pPr>
        <w:spacing w:after="120" w:line="276"/>
      </w:pPr>
      <w:r>
        <w:rPr>
          <w:b w:val="false"/>
          <w:bCs w:val="false"/>
          <w:i w:val="false"/>
          <w:iCs w:val="false"/>
          <w:sz w:val="20"/>
          <w:szCs w:val="20"/>
        </w:rPr>
        <w:t xml:space="preserve">A material portion of the findings describes behaviour that was built to a specification the client provided and, in two cases, demonstrated and accepted during earlier sessions. This is not offered as a defence — the behaviour still needs to change — but it matters for planning, because a change of specification carries different estimation, regression and approval implications than a straightforward defect fix. Section 5 traces each finding back to its origin so the two categories can be separated and handled appropriately.</w:t>
      </w:r>
    </w:p>
    <w:p>
      <w:pPr>
        <w:pStyle w:val="Heading1"/>
        <w:pBdr>
          <w:bottom w:val="single" w:color="1F3864" w:sz="6" w:space="4"/>
        </w:pBdr>
        <w:spacing w:after="160" w:before="360"/>
      </w:pPr>
      <w:r>
        <w:rPr>
          <w:b/>
          <w:bCs/>
          <w:color w:val="1F3864"/>
          <w:sz w:val="30"/>
          <w:szCs w:val="30"/>
        </w:rPr>
        <w:t xml:space="preserve">2.  Source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Ref</w:t>
            </w:r>
          </w:p>
        </w:tc>
        <w:tc>
          <w:tcPr>
            <w:tcW w:type="dxa" w:w="30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Source</w:t>
            </w:r>
          </w:p>
        </w:tc>
        <w:tc>
          <w:tcPr>
            <w:tcW w:type="dxa" w:w="53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Content</w:t>
            </w:r>
          </w:p>
        </w:tc>
      </w:tr>
      <w:tr>
        <w:tc>
          <w:tcPr>
            <w:tcW w:type="dxa" w:w="1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S1</w:t>
            </w:r>
          </w:p>
        </w:tc>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Email — Brian Rossell, RE: MTEST Role-Based Access, Change Role and Change Access Testing — FAIL</w:t>
            </w:r>
          </w:p>
        </w:tc>
        <w:tc>
          <w:tcPr>
            <w:tcW w:type="dxa" w:w="53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Joint CCD position on desired Change Role / Change Access behaviour; annotated screenshot of Change Role modal; two additional defects for SP460</w:t>
            </w:r>
          </w:p>
        </w:tc>
      </w:tr>
      <w:tr>
        <w:tc>
          <w:tcPr>
            <w:tcW w:type="dxa" w:w="1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S2</w:t>
            </w:r>
          </w:p>
        </w:tc>
        <w:tc>
          <w:tcPr>
            <w:tcW w:type="dxa" w:w="3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Test report — Sarah Vainer, MTEST Role-Based Access, Change Role and Change Access Testing, 08/11/2026</w:t>
            </w:r>
          </w:p>
        </w:tc>
        <w:tc>
          <w:tcPr>
            <w:tcW w:type="dxa" w:w="53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Nine numbered findings with observations, expected behaviour, impact statements and evidence screenshots</w:t>
            </w:r>
          </w:p>
        </w:tc>
      </w:tr>
      <w:tr>
        <w:tc>
          <w:tcPr>
            <w:tcW w:type="dxa" w:w="1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S3</w:t>
            </w:r>
          </w:p>
        </w:tc>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Draft — Mockups Login and Main Menu 05-09-2024.pptx</w:t>
            </w:r>
          </w:p>
        </w:tc>
        <w:tc>
          <w:tcPr>
            <w:tcW w:type="dxa" w:w="53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Approved header/main-menu mockup. Referenced by S2 as the authority for header content</w:t>
            </w:r>
          </w:p>
        </w:tc>
      </w:tr>
      <w:tr>
        <w:tc>
          <w:tcPr>
            <w:tcW w:type="dxa" w:w="1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S4</w:t>
            </w:r>
          </w:p>
        </w:tc>
        <w:tc>
          <w:tcPr>
            <w:tcW w:type="dxa" w:w="3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FW ENTITY Access Pick T-SIGN Mock Up Update.msg</w:t>
            </w:r>
          </w:p>
        </w:tc>
        <w:tc>
          <w:tcPr>
            <w:tcW w:type="dxa" w:w="53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Referenced by S2. Not supplied to development — see Section 9</w:t>
            </w:r>
          </w:p>
        </w:tc>
      </w:tr>
      <w:tr>
        <w:tc>
          <w:tcPr>
            <w:tcW w:type="dxa" w:w="1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S5</w:t>
            </w:r>
          </w:p>
        </w:tc>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Legacy ENTITY terminal capture (within S2, finding 6)</w:t>
            </w:r>
          </w:p>
        </w:tc>
        <w:tc>
          <w:tcPr>
            <w:tcW w:type="dxa" w:w="53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Legacy Change Access output for group 261314 — serves as the acceptance baseline for the officer list</w:t>
            </w:r>
          </w:p>
        </w:tc>
      </w:tr>
      <w:tr>
        <w:tc>
          <w:tcPr>
            <w:tcW w:type="dxa" w:w="1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S6</w:t>
            </w:r>
          </w:p>
        </w:tc>
        <w:tc>
          <w:tcPr>
            <w:tcW w:type="dxa" w:w="3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Ticket SP460 / CCD "loop" defect</w:t>
            </w:r>
          </w:p>
        </w:tc>
        <w:tc>
          <w:tcPr>
            <w:tcW w:type="dxa" w:w="53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Referenced by S1. Not supplied to development — see Section 9</w:t>
            </w:r>
          </w:p>
        </w:tc>
      </w:tr>
    </w:tbl>
    <w:p>
      <w:pPr>
        <w:pBdr>
          <w:left w:val="single" w:color="2E5496" w:sz="18" w:space="10"/>
        </w:pBdr>
        <w:spacing w:after="160" w:before="140" w:line="276"/>
        <w:ind w:left="200"/>
      </w:pPr>
      <w:r>
        <w:rPr>
          <w:b/>
          <w:bCs/>
          <w:color w:val="2E5496"/>
          <w:sz w:val="20"/>
          <w:szCs w:val="20"/>
        </w:rPr>
        <w:t xml:space="preserve">Scope boundary.  </w:t>
      </w:r>
      <w:r>
        <w:rPr>
          <w:sz w:val="20"/>
          <w:szCs w:val="20"/>
        </w:rPr>
        <w:t xml:space="preserve">S4 and S6 are referenced by the client but were not provided. Section 7 remediation has been written without them. If either contains additional acceptance criteria, this document will need revision.</w:t>
      </w:r>
    </w:p>
    <w:p>
      <w:r>
        <w:br w:type="page"/>
      </w:r>
    </w:p>
    <w:p>
      <w:pPr>
        <w:pStyle w:val="Heading1"/>
        <w:pBdr>
          <w:bottom w:val="single" w:color="1F3864" w:sz="6" w:space="4"/>
        </w:pBdr>
        <w:spacing w:after="160" w:before="360"/>
      </w:pPr>
      <w:r>
        <w:rPr>
          <w:b/>
          <w:bCs/>
          <w:color w:val="1F3864"/>
          <w:sz w:val="30"/>
          <w:szCs w:val="30"/>
        </w:rPr>
        <w:t xml:space="preserve">3.  Executive Summary</w:t>
      </w:r>
    </w:p>
    <w:p>
      <w:pPr>
        <w:spacing w:after="120" w:line="276"/>
      </w:pPr>
      <w:r>
        <w:rPr>
          <w:b w:val="false"/>
          <w:bCs w:val="false"/>
          <w:i w:val="false"/>
          <w:iCs w:val="false"/>
          <w:sz w:val="20"/>
          <w:szCs w:val="20"/>
        </w:rPr>
        <w:t xml:space="preserve">Eleven distinct issues were raised across the two submissions. They are not eleven independent defects. They reduce to seven root causes, one of which — the viewing context not being applied to downstream data lookups — accounts for the most severe finding and probably contributes to two others.</w:t>
      </w:r>
    </w:p>
    <w:p>
      <w:pPr>
        <w:pStyle w:val="Heading3"/>
        <w:spacing w:after="90" w:before="200"/>
      </w:pPr>
      <w:r>
        <w:rPr>
          <w:b/>
          <w:bCs/>
          <w:color w:val="333333"/>
          <w:sz w:val="21"/>
          <w:szCs w:val="21"/>
        </w:rPr>
        <w:t xml:space="preserve">Severity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1500"/>
        <w:gridCol w:w="2560"/>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Root cause</w:t>
            </w:r>
          </w:p>
        </w:tc>
        <w:tc>
          <w:tcPr>
            <w:tcW w:type="dxa" w:w="42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Summary</w:t>
            </w:r>
          </w:p>
        </w:tc>
        <w:tc>
          <w:tcPr>
            <w:tcW w:type="dxa" w:w="15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Severity</w:t>
            </w:r>
          </w:p>
        </w:tc>
        <w:tc>
          <w:tcPr>
            <w:tcW w:type="dxa" w:w="25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Category</w:t>
            </w:r>
          </w:p>
        </w:tc>
      </w:tr>
      <w:tr>
        <w:tc>
          <w:tcPr>
            <w:tcW w:type="dxa" w:w="11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RC-1</w:t>
            </w:r>
          </w:p>
        </w:tc>
        <w:tc>
          <w:tcPr>
            <w:tcW w:type="dxa" w:w="4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Change Access officer and employee lists ignore the active viewing context and return a population derived from the logged-in user's own assignment</w:t>
            </w:r>
          </w:p>
        </w:tc>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Critical</w:t>
            </w:r>
          </w:p>
        </w:tc>
        <w:tc>
          <w:tcPr>
            <w:tcW w:type="dxa" w:w="2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Defect</w:t>
            </w:r>
          </w:p>
        </w:tc>
      </w:tr>
      <w:tr>
        <w:tc>
          <w:tcPr>
            <w:tcW w:type="dxa" w:w="11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RC-2</w:t>
            </w:r>
          </w:p>
        </w:tc>
        <w:tc>
          <w:tcPr>
            <w:tcW w:type="dxa" w:w="42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Hierarchy drill-down returns no results below National level for staff-prefix users</w:t>
            </w:r>
          </w:p>
        </w:tc>
        <w:tc>
          <w:tcPr>
            <w:tcW w:type="dxa" w:w="15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Critical</w:t>
            </w:r>
          </w:p>
        </w:tc>
        <w:tc>
          <w:tcPr>
            <w:tcW w:type="dxa" w:w="2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Defect (hypothesis)</w:t>
            </w:r>
          </w:p>
        </w:tc>
      </w:tr>
      <w:tr>
        <w:tc>
          <w:tcPr>
            <w:tcW w:type="dxa" w:w="11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RC-3</w:t>
            </w:r>
          </w:p>
        </w:tc>
        <w:tc>
          <w:tcPr>
            <w:tcW w:type="dxa" w:w="4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Officer and assignment lists are not filtered to active, real, distinct records</w:t>
            </w:r>
          </w:p>
        </w:tc>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High</w:t>
            </w:r>
          </w:p>
        </w:tc>
        <w:tc>
          <w:tcPr>
            <w:tcW w:type="dxa" w:w="2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Defect — incomplete prior fix</w:t>
            </w:r>
          </w:p>
        </w:tc>
      </w:tr>
      <w:tr>
        <w:tc>
          <w:tcPr>
            <w:tcW w:type="dxa" w:w="11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RC-4</w:t>
            </w:r>
          </w:p>
        </w:tc>
        <w:tc>
          <w:tcPr>
            <w:tcW w:type="dxa" w:w="42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Menu and permissions are not rebuilt when the access context is reset</w:t>
            </w:r>
          </w:p>
        </w:tc>
        <w:tc>
          <w:tcPr>
            <w:tcW w:type="dxa" w:w="15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High</w:t>
            </w:r>
          </w:p>
        </w:tc>
        <w:tc>
          <w:tcPr>
            <w:tcW w:type="dxa" w:w="2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Defect (verify client cache first)</w:t>
            </w:r>
          </w:p>
        </w:tc>
      </w:tr>
      <w:tr>
        <w:tc>
          <w:tcPr>
            <w:tcW w:type="dxa" w:w="11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RC-5</w:t>
            </w:r>
          </w:p>
        </w:tc>
        <w:tc>
          <w:tcPr>
            <w:tcW w:type="dxa" w:w="4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"Viewing As" emits a truncated internal value and resolves the wrong name</w:t>
            </w:r>
          </w:p>
        </w:tc>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High</w:t>
            </w:r>
          </w:p>
        </w:tc>
        <w:tc>
          <w:tcPr>
            <w:tcW w:type="dxa" w:w="2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Defect — deviation from approved mockup</w:t>
            </w:r>
          </w:p>
        </w:tc>
      </w:tr>
      <w:tr>
        <w:tc>
          <w:tcPr>
            <w:tcW w:type="dxa" w:w="11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RC-6</w:t>
            </w:r>
          </w:p>
        </w:tc>
        <w:tc>
          <w:tcPr>
            <w:tcW w:type="dxa" w:w="42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Change Role permits organization, level and assignment to be set independently of one another</w:t>
            </w:r>
          </w:p>
        </w:tc>
        <w:tc>
          <w:tcPr>
            <w:tcW w:type="dxa" w:w="15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High</w:t>
            </w:r>
          </w:p>
        </w:tc>
        <w:tc>
          <w:tcPr>
            <w:tcW w:type="dxa" w:w="2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Specification change</w:t>
            </w:r>
          </w:p>
        </w:tc>
      </w:tr>
      <w:tr>
        <w:tc>
          <w:tcPr>
            <w:tcW w:type="dxa" w:w="11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RC-7</w:t>
            </w:r>
          </w:p>
        </w:tc>
        <w:tc>
          <w:tcPr>
            <w:tcW w:type="dxa" w:w="4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List ordering, tile formatting, dark-mode contrast and a missing control label</w:t>
            </w:r>
          </w:p>
        </w:tc>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Medium</w:t>
            </w:r>
          </w:p>
        </w:tc>
        <w:tc>
          <w:tcPr>
            <w:tcW w:type="dxa" w:w="2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Defect + gap</w:t>
            </w:r>
          </w:p>
        </w:tc>
      </w:tr>
    </w:tbl>
    <w:p>
      <w:pPr>
        <w:spacing w:after="160"/>
      </w:pPr>
      <w:r>
        <w:t xml:space="preserve"/>
      </w:r>
    </w:p>
    <w:p>
      <w:pPr>
        <w:pStyle w:val="Heading3"/>
        <w:spacing w:after="90" w:before="200"/>
      </w:pPr>
      <w:r>
        <w:rPr>
          <w:b/>
          <w:bCs/>
          <w:color w:val="333333"/>
          <w:sz w:val="21"/>
          <w:szCs w:val="21"/>
        </w:rPr>
        <w:t xml:space="preserve">The single most important finding</w:t>
      </w:r>
    </w:p>
    <w:p>
      <w:pPr>
        <w:spacing w:after="120" w:line="276"/>
      </w:pPr>
      <w:r>
        <w:rPr>
          <w:b w:val="false"/>
          <w:bCs w:val="false"/>
          <w:i w:val="false"/>
          <w:iCs w:val="false"/>
          <w:sz w:val="20"/>
          <w:szCs w:val="20"/>
        </w:rPr>
        <w:t xml:space="preserve">Two separate users, viewing two different groups, received an identical officer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33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User</w:t>
            </w:r>
          </w:p>
        </w:tc>
        <w:tc>
          <w:tcPr>
            <w:tcW w:type="dxa" w:w="19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Own assignment</w:t>
            </w:r>
          </w:p>
        </w:tc>
        <w:tc>
          <w:tcPr>
            <w:tcW w:type="dxa" w:w="19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Viewing as</w:t>
            </w:r>
          </w:p>
        </w:tc>
        <w:tc>
          <w:tcPr>
            <w:tcW w:type="dxa" w:w="33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Officer tiles returned</w:t>
            </w:r>
          </w:p>
        </w:tc>
      </w:tr>
      <w:tr>
        <w:tc>
          <w:tcPr>
            <w:tcW w:type="dxa" w:w="2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E. Base III</w:t>
            </w:r>
          </w:p>
        </w:tc>
        <w:tc>
          <w:tcPr>
            <w:tcW w:type="dxa" w:w="19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85906270</w:t>
            </w:r>
          </w:p>
        </w:tc>
        <w:tc>
          <w:tcPr>
            <w:tcW w:type="dxa" w:w="19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250114</w:t>
            </w:r>
          </w:p>
        </w:tc>
        <w:tc>
          <w:tcPr>
            <w:tcW w:type="dxa" w:w="33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~59 tiles, all 859062xx</w:t>
            </w:r>
          </w:p>
        </w:tc>
      </w:tr>
      <w:tr>
        <w:tc>
          <w:tcPr>
            <w:tcW w:type="dxa" w:w="22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N. Priest</w:t>
            </w:r>
          </w:p>
        </w:tc>
        <w:tc>
          <w:tcPr>
            <w:tcW w:type="dxa" w:w="19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85906269</w:t>
            </w:r>
          </w:p>
        </w:tc>
        <w:tc>
          <w:tcPr>
            <w:tcW w:type="dxa" w:w="19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261314</w:t>
            </w:r>
          </w:p>
        </w:tc>
        <w:tc>
          <w:tcPr>
            <w:tcW w:type="dxa" w:w="33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~59 tiles, all 859062xx (identical set)</w:t>
            </w:r>
          </w:p>
        </w:tc>
      </w:tr>
    </w:tbl>
    <w:p>
      <w:pPr>
        <w:spacing w:after="140"/>
      </w:pPr>
      <w:r>
        <w:t xml:space="preserve"/>
      </w:r>
    </w:p>
    <w:p>
      <w:pPr>
        <w:spacing w:after="120" w:line="276"/>
      </w:pPr>
      <w:r>
        <w:rPr>
          <w:b w:val="false"/>
          <w:bCs w:val="false"/>
          <w:i w:val="false"/>
          <w:iCs w:val="false"/>
          <w:sz w:val="20"/>
          <w:szCs w:val="20"/>
        </w:rPr>
        <w:t xml:space="preserve">The returned population is not a function of the selection. It corresponds to the six-digit prefix of each user's own assignment number — 859062 — which is the national staff population. The legacy system, for the same group 261314, returns four named revenue officers.</w:t>
      </w:r>
    </w:p>
    <w:p>
      <w:pPr>
        <w:pBdr>
          <w:left w:val="single" w:color="C00000" w:sz="18" w:space="10"/>
        </w:pBdr>
        <w:spacing w:after="160" w:before="140" w:line="276"/>
        <w:ind w:left="200"/>
      </w:pPr>
      <w:r>
        <w:rPr>
          <w:b/>
          <w:bCs/>
          <w:color w:val="C00000"/>
          <w:sz w:val="20"/>
          <w:szCs w:val="20"/>
        </w:rPr>
        <w:t xml:space="preserve">Consequence.  </w:t>
      </w:r>
      <w:r>
        <w:rPr>
          <w:sz w:val="20"/>
          <w:szCs w:val="20"/>
        </w:rPr>
        <w:t xml:space="preserve">Finding 5 is not a data-filtering problem in the sense the client describes it. The correct filter is very likely already in place and simply never receives the selected group code. This is structurally the same class of defect as the March 2026 issue in which a computed prefix length was never passed to the query it was computed for. Fixing the parameter path should resolve finding 5 entirely and may also resolve finding 3.</w:t>
      </w:r>
    </w:p>
    <w:p>
      <w:pPr>
        <w:pStyle w:val="Heading3"/>
        <w:spacing w:after="90" w:before="200"/>
      </w:pPr>
      <w:r>
        <w:rPr>
          <w:b/>
          <w:bCs/>
          <w:color w:val="333333"/>
          <w:sz w:val="21"/>
          <w:szCs w:val="21"/>
        </w:rPr>
        <w:t xml:space="preserve">What is genuinely new work</w:t>
      </w:r>
    </w:p>
    <w:p>
      <w:pPr>
        <w:spacing w:after="120" w:line="276"/>
      </w:pPr>
      <w:r>
        <w:rPr>
          <w:b w:val="false"/>
          <w:bCs w:val="false"/>
          <w:i w:val="false"/>
          <w:iCs w:val="false"/>
          <w:sz w:val="20"/>
          <w:szCs w:val="20"/>
        </w:rPr>
        <w:t xml:space="preserve">Brian's two-field redesign of Change Role (RC-6) is a change of scope, not a fix. It removes a control that was specified, built, demonstrated and accepted in April 2026. It is a sound change and it addresses the underlying architectural weakness — allowing a level to be typed independently of an assignment number lets the two drift apart — but it must be estimated and approved as new work, and it is currently blocked on an unresolved contradiction with the client's own Acting Group Manager requirement (Decision D1, Section 8).</w:t>
      </w:r>
    </w:p>
    <w:p>
      <w:r>
        <w:br w:type="page"/>
      </w:r>
    </w:p>
    <w:p>
      <w:pPr>
        <w:pStyle w:val="Heading1"/>
        <w:pBdr>
          <w:bottom w:val="single" w:color="1F3864" w:sz="6" w:space="4"/>
        </w:pBdr>
        <w:spacing w:after="160" w:before="360"/>
      </w:pPr>
      <w:r>
        <w:rPr>
          <w:b/>
          <w:bCs/>
          <w:color w:val="1F3864"/>
          <w:sz w:val="30"/>
          <w:szCs w:val="30"/>
        </w:rPr>
        <w:t xml:space="preserve">4.  What the Client Is Asking For</w:t>
      </w:r>
    </w:p>
    <w:p>
      <w:pPr>
        <w:pStyle w:val="Heading2"/>
        <w:spacing w:after="110" w:before="260"/>
      </w:pPr>
      <w:r>
        <w:rPr>
          <w:b/>
          <w:bCs/>
          <w:color w:val="2E5496"/>
          <w:sz w:val="24"/>
          <w:szCs w:val="24"/>
        </w:rPr>
        <w:t xml:space="preserve">4.1  Brian Rossell — requested design change (S1)</w:t>
      </w:r>
    </w:p>
    <w:p>
      <w:pPr>
        <w:spacing w:after="120" w:line="276"/>
      </w:pPr>
      <w:r>
        <w:rPr>
          <w:b w:val="false"/>
          <w:bCs w:val="false"/>
          <w:i w:val="false"/>
          <w:iCs w:val="false"/>
          <w:sz w:val="20"/>
          <w:szCs w:val="20"/>
        </w:rPr>
        <w:t xml:space="preserve">Brian describes this as the joint position of himself and CCD, and invites Sarah and Eric to correct it. He states that implementing it should resolve the majority of the CCD "loop" defect.</w:t>
      </w:r>
    </w:p>
    <w:p>
      <w:pPr>
        <w:pStyle w:val="Heading3"/>
        <w:spacing w:after="90" w:before="200"/>
      </w:pPr>
      <w:r>
        <w:rPr>
          <w:b/>
          <w:bCs/>
          <w:color w:val="333333"/>
          <w:sz w:val="21"/>
          <w:szCs w:val="21"/>
        </w:rPr>
        <w:t xml:space="preserve">B1 — Reduce Change Role to two selections</w:t>
      </w:r>
    </w:p>
    <w:p>
      <w:pPr>
        <w:pStyle w:val="ListParagraph"/>
        <w:numPr>
          <w:ilvl w:val="0"/>
          <w:numId w:val="2"/>
        </w:numPr>
        <w:spacing w:after="70" w:line="276"/>
      </w:pPr>
      <w:r>
        <w:rPr>
          <w:sz w:val="20"/>
          <w:szCs w:val="20"/>
        </w:rPr>
        <w:t xml:space="preserve">Change Role should present a maximum of two options: Select Org, then Select Assignment Number.</w:t>
      </w:r>
    </w:p>
    <w:p>
      <w:pPr>
        <w:pStyle w:val="ListParagraph"/>
        <w:numPr>
          <w:ilvl w:val="0"/>
          <w:numId w:val="2"/>
        </w:numPr>
        <w:spacing w:after="70" w:line="276"/>
      </w:pPr>
      <w:r>
        <w:rPr>
          <w:sz w:val="20"/>
          <w:szCs w:val="20"/>
        </w:rPr>
        <w:t xml:space="preserve">The user is prompted for Org first. The Orgs offered are driven by the assignment numbers the user actually holds.</w:t>
      </w:r>
    </w:p>
    <w:p>
      <w:pPr>
        <w:pStyle w:val="ListParagraph"/>
        <w:numPr>
          <w:ilvl w:val="0"/>
          <w:numId w:val="2"/>
        </w:numPr>
        <w:spacing w:after="70" w:line="276"/>
      </w:pPr>
      <w:r>
        <w:rPr>
          <w:sz w:val="20"/>
          <w:szCs w:val="20"/>
        </w:rPr>
        <w:t xml:space="preserve">A user holding assignment numbers in only one Org must not be shown the Select Org box at all. Brian notes this is already coded correctly in TEST.</w:t>
      </w:r>
    </w:p>
    <w:p>
      <w:pPr>
        <w:pStyle w:val="ListParagraph"/>
        <w:numPr>
          <w:ilvl w:val="0"/>
          <w:numId w:val="2"/>
        </w:numPr>
        <w:spacing w:after="70" w:line="276"/>
      </w:pPr>
      <w:r>
        <w:rPr>
          <w:sz w:val="20"/>
          <w:szCs w:val="20"/>
        </w:rPr>
        <w:t xml:space="preserve">A user holding two or more Orgs must select Org before anything else.</w:t>
      </w:r>
    </w:p>
    <w:p>
      <w:pPr>
        <w:pStyle w:val="ListParagraph"/>
        <w:numPr>
          <w:ilvl w:val="0"/>
          <w:numId w:val="2"/>
        </w:numPr>
        <w:spacing w:after="70" w:line="276"/>
      </w:pPr>
      <w:r>
        <w:rPr>
          <w:sz w:val="20"/>
          <w:szCs w:val="20"/>
        </w:rPr>
        <w:t xml:space="preserve">The user then chooses among their available assignment numbers within that Org.</w:t>
      </w:r>
    </w:p>
    <w:p>
      <w:pPr>
        <w:pStyle w:val="ListParagraph"/>
        <w:numPr>
          <w:ilvl w:val="0"/>
          <w:numId w:val="2"/>
        </w:numPr>
        <w:spacing w:after="70" w:line="276"/>
      </w:pPr>
      <w:r>
        <w:rPr>
          <w:sz w:val="20"/>
          <w:szCs w:val="20"/>
        </w:rPr>
        <w:t xml:space="preserve">National users can change Org, and their National assignment number persists across that change.</w:t>
      </w:r>
    </w:p>
    <w:p>
      <w:pPr>
        <w:pStyle w:val="Heading3"/>
        <w:spacing w:after="90" w:before="200"/>
      </w:pPr>
      <w:r>
        <w:rPr>
          <w:b/>
          <w:bCs/>
          <w:color w:val="333333"/>
          <w:sz w:val="21"/>
          <w:szCs w:val="21"/>
        </w:rPr>
        <w:t xml:space="preserve">B2 — Remove the level controls for national users</w:t>
      </w:r>
    </w:p>
    <w:p>
      <w:pPr>
        <w:spacing w:after="120" w:line="276"/>
      </w:pPr>
      <w:r>
        <w:rPr>
          <w:sz w:val="20"/>
          <w:szCs w:val="20"/>
        </w:rPr>
        <w:t xml:space="preserve">The </w:t>
      </w:r>
      <w:r>
        <w:rPr>
          <w:b/>
          <w:bCs/>
          <w:sz w:val="20"/>
          <w:szCs w:val="20"/>
        </w:rPr>
        <w:t xml:space="preserve">Select New Level</w:t>
      </w:r>
      <w:r>
        <w:rPr>
          <w:sz w:val="20"/>
          <w:szCs w:val="20"/>
        </w:rPr>
        <w:t xml:space="preserve"> and </w:t>
      </w:r>
      <w:r>
        <w:rPr>
          <w:b/>
          <w:bCs/>
          <w:sz w:val="20"/>
          <w:szCs w:val="20"/>
        </w:rPr>
        <w:t xml:space="preserve">Enter Level</w:t>
      </w:r>
      <w:r>
        <w:rPr>
          <w:sz w:val="20"/>
          <w:szCs w:val="20"/>
        </w:rPr>
        <w:t xml:space="preserve"> fields are to be removed for national users. Brian notes they have already been removed for non-national users. His stated principle: </w:t>
      </w:r>
      <w:r>
        <w:rPr>
          <w:b/>
          <w:bCs/>
          <w:sz w:val="20"/>
          <w:szCs w:val="20"/>
        </w:rPr>
        <w:t xml:space="preserve">ELEVEL for all users should be controlled through Change Access, not Change Role.</w:t>
      </w:r>
    </w:p>
    <w:p>
      <w:pPr>
        <w:pStyle w:val="Heading3"/>
        <w:spacing w:after="90" w:before="200"/>
      </w:pPr>
      <w:r>
        <w:rPr>
          <w:b/>
          <w:bCs/>
          <w:color w:val="333333"/>
          <w:sz w:val="21"/>
          <w:szCs w:val="21"/>
        </w:rPr>
        <w:t xml:space="preserve">B3, B4 — Two additional defects for SP460</w:t>
      </w:r>
    </w:p>
    <w:p>
      <w:pPr>
        <w:pStyle w:val="ListParagraph"/>
        <w:numPr>
          <w:ilvl w:val="0"/>
          <w:numId w:val="2"/>
        </w:numPr>
        <w:spacing w:after="70" w:line="276"/>
      </w:pPr>
      <w:r>
        <w:rPr>
          <w:sz w:val="20"/>
          <w:szCs w:val="20"/>
        </w:rPr>
        <w:t xml:space="preserve">Change Role continues to display disbanded assignment numbers (ELEVEL -2).</w:t>
      </w:r>
    </w:p>
    <w:p>
      <w:pPr>
        <w:pStyle w:val="ListParagraph"/>
        <w:numPr>
          <w:ilvl w:val="0"/>
          <w:numId w:val="2"/>
        </w:numPr>
        <w:spacing w:after="70" w:line="276"/>
      </w:pPr>
      <w:r>
        <w:rPr>
          <w:sz w:val="20"/>
          <w:szCs w:val="20"/>
        </w:rPr>
        <w:t xml:space="preserve">"Viewing As" defaults to the oldest disbanded revenue officer's name for a given assignment number, even when that number corresponds to a currently active employee.</w:t>
      </w:r>
    </w:p>
    <w:p>
      <w:pPr>
        <w:pBdr>
          <w:left w:val="single" w:color="2E5496" w:sz="18" w:space="10"/>
        </w:pBdr>
        <w:spacing w:after="160" w:before="140" w:line="276"/>
        <w:ind w:left="200"/>
      </w:pPr>
      <w:r>
        <w:rPr>
          <w:b/>
          <w:bCs/>
          <w:color w:val="2E5496"/>
          <w:sz w:val="20"/>
          <w:szCs w:val="20"/>
        </w:rPr>
        <w:t xml:space="preserve">Evidence for B4 is in Brian's own screenshot.  </w:t>
      </w:r>
      <w:r>
        <w:rPr>
          <w:sz w:val="20"/>
          <w:szCs w:val="20"/>
        </w:rPr>
        <w:t xml:space="preserve">The officer tile reads 23091708 A. THORPE while the header for the same assignment number reads "Viewing as: M. MILLER (23091708)". One assignment number, two different names, in a single screen capture. This is diagnostically valuable — see RC-5.</w:t>
      </w:r>
    </w:p>
    <w:p>
      <w:pPr>
        <w:spacing w:after="120" w:line="276"/>
      </w:pPr>
      <w:r>
        <w:rPr>
          <w:b w:val="false"/>
          <w:bCs w:val="false"/>
          <w:i w:val="false"/>
          <w:iCs w:val="false"/>
          <w:sz w:val="20"/>
          <w:szCs w:val="20"/>
        </w:rPr>
        <w:t xml:space="preserve">Brian also confirms that, independent of B1 and B2, the remaining items in the ticket stand — specifically dark mode accessibility and data integrity.</w:t>
      </w:r>
    </w:p>
    <w:p>
      <w:pPr>
        <w:spacing w:after="220"/>
      </w:pPr>
      <w:r>
        <w:t xml:space="preserve"/>
      </w:r>
    </w:p>
    <w:p>
      <w:pPr>
        <w:pStyle w:val="Heading2"/>
        <w:spacing w:after="110" w:before="260"/>
      </w:pPr>
      <w:r>
        <w:rPr>
          <w:b/>
          <w:bCs/>
          <w:color w:val="2E5496"/>
          <w:sz w:val="24"/>
          <w:szCs w:val="24"/>
        </w:rPr>
        <w:t xml:space="preserve">4.2  Sarah Vainer — MTEST findings (S2)</w:t>
      </w:r>
    </w:p>
    <w:p>
      <w:pPr>
        <w:spacing w:after="120" w:line="276"/>
      </w:pPr>
      <w:r>
        <w:rPr>
          <w:b w:val="false"/>
          <w:bCs w:val="false"/>
          <w:i w:val="false"/>
          <w:iCs w:val="false"/>
          <w:sz w:val="20"/>
          <w:szCs w:val="20"/>
        </w:rPr>
        <w:t xml:space="preserve">Test performed 08/11/2026 against MTEST, covering National, Area, Territory and Group access across the CF and AD organizations. Overall result: FAIL.</w:t>
      </w:r>
    </w:p>
    <w:p>
      <w:pPr>
        <w:spacing w:after="120" w:line="276"/>
      </w:pPr>
      <w:r>
        <w:rPr>
          <w:b w:val="false"/>
          <w:bCs w:val="false"/>
          <w:i w:val="false"/>
          <w:iCs w:val="false"/>
          <w:sz w:val="20"/>
          <w:szCs w:val="20"/>
        </w:rPr>
        <w:t xml:space="preserve">Sarah's stated objective is that the modernized application should correctly determine and maintain the user's organizational role, assignment number, ELEVEL and permitted data scope across both Change Role and Change Access. Her framing of the legacy contract is important and is quoted in substance below, because several findings only make sense against it:</w:t>
      </w:r>
    </w:p>
    <w:p>
      <w:pPr>
        <w:spacing w:after="120" w:line="276"/>
        <w:ind w:left="360"/>
      </w:pPr>
      <w:r>
        <w:rPr>
          <w:sz w:val="20"/>
          <w:szCs w:val="20"/>
        </w:rPr>
        <w:t xml:space="preserve">Legacy ENTITY establishes access from the applicable assignment number and ICS profile. Users with higher-level access then use Change Access to move </w:t>
      </w:r>
      <w:r>
        <w:rPr>
          <w:b/>
          <w:bCs/>
          <w:sz w:val="20"/>
          <w:szCs w:val="20"/>
        </w:rPr>
        <w:t xml:space="preserve">downward</w:t>
      </w:r>
      <w:r>
        <w:rPr>
          <w:sz w:val="20"/>
          <w:szCs w:val="20"/>
        </w:rPr>
        <w:t xml:space="preserve"> through their authorized hierarchy — a Group Manager can reach an individual RO; a Territory user can reach groups and ROs within the territory; an Area user can reach territories, groups and ROs within the area. Each use of Change Access moves the user to the next lower access level.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500"/>
        <w:gridCol w:w="376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w:t>
            </w:r>
          </w:p>
        </w:tc>
        <w:tc>
          <w:tcPr>
            <w:tcW w:type="dxa" w:w="3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Finding</w:t>
            </w:r>
          </w:p>
        </w:tc>
        <w:tc>
          <w:tcPr>
            <w:tcW w:type="dxa" w:w="15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Result</w:t>
            </w:r>
          </w:p>
        </w:tc>
        <w:tc>
          <w:tcPr>
            <w:tcW w:type="dxa" w:w="37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Root cause</w:t>
            </w:r>
          </w:p>
        </w:tc>
      </w:tr>
      <w:tr>
        <w:tc>
          <w:tcPr>
            <w:tcW w:type="dxa" w:w="7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1</w:t>
            </w:r>
          </w:p>
        </w:tc>
        <w:tc>
          <w:tcPr>
            <w:tcW w:type="dxa" w:w="3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Change Role sequence is unclear — Organization selection is positioned so the required selection order is not intuitive</w:t>
            </w:r>
          </w:p>
        </w:tc>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FAIL</w:t>
            </w:r>
          </w:p>
        </w:tc>
        <w:tc>
          <w:tcPr>
            <w:tcW w:type="dxa" w:w="37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RC-6 (addressed by B1)</w:t>
            </w:r>
          </w:p>
        </w:tc>
      </w:tr>
      <w:tr>
        <w:tc>
          <w:tcPr>
            <w:tcW w:type="dxa" w:w="7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2</w:t>
            </w:r>
          </w:p>
        </w:tc>
        <w:tc>
          <w:tcPr>
            <w:tcW w:type="dxa" w:w="3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Default selection functionality is unclear — purpose and behaviour of "Keep Selection as Default" are not defined</w:t>
            </w:r>
          </w:p>
        </w:tc>
        <w:tc>
          <w:tcPr>
            <w:tcW w:type="dxa" w:w="15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Clarification</w:t>
            </w:r>
          </w:p>
        </w:tc>
        <w:tc>
          <w:tcPr>
            <w:tcW w:type="dxa" w:w="37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Specification gap + RC-7</w:t>
            </w:r>
          </w:p>
        </w:tc>
      </w:tr>
      <w:tr>
        <w:tc>
          <w:tcPr>
            <w:tcW w:type="dxa" w:w="7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3</w:t>
            </w:r>
          </w:p>
        </w:tc>
        <w:tc>
          <w:tcPr>
            <w:tcW w:type="dxa" w:w="3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Change Access does not display lower organizational levels — Area users cannot see their territories, Territory users cannot see their groups</w:t>
            </w:r>
          </w:p>
        </w:tc>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FAIL</w:t>
            </w:r>
          </w:p>
        </w:tc>
        <w:tc>
          <w:tcPr>
            <w:tcW w:type="dxa" w:w="37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RC-2</w:t>
            </w:r>
          </w:p>
        </w:tc>
      </w:tr>
      <w:tr>
        <w:tc>
          <w:tcPr>
            <w:tcW w:type="dxa" w:w="7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4</w:t>
            </w:r>
          </w:p>
        </w:tc>
        <w:tc>
          <w:tcPr>
            <w:tcW w:type="dxa" w:w="3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"Viewing As" displays an assignment-number value rather than identifying the current access level</w:t>
            </w:r>
          </w:p>
        </w:tc>
        <w:tc>
          <w:tcPr>
            <w:tcW w:type="dxa" w:w="15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FAIL</w:t>
            </w:r>
          </w:p>
        </w:tc>
        <w:tc>
          <w:tcPr>
            <w:tcW w:type="dxa" w:w="37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RC-5</w:t>
            </w:r>
          </w:p>
        </w:tc>
      </w:tr>
      <w:tr>
        <w:tc>
          <w:tcPr>
            <w:tcW w:type="dxa" w:w="7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5</w:t>
            </w:r>
          </w:p>
        </w:tc>
        <w:tc>
          <w:tcPr>
            <w:tcW w:type="dxa" w:w="3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National-to-lower-level access returns an incorrect employee population — includes users outside the selected group, plus inactive, retired, developer, analyst and duplicate records</w:t>
            </w:r>
          </w:p>
        </w:tc>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FAIL — Data Scope</w:t>
            </w:r>
          </w:p>
        </w:tc>
        <w:tc>
          <w:tcPr>
            <w:tcW w:type="dxa" w:w="37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RC-1 (primary) + RC-3</w:t>
            </w:r>
          </w:p>
        </w:tc>
      </w:tr>
      <w:tr>
        <w:tc>
          <w:tcPr>
            <w:tcW w:type="dxa" w:w="7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6</w:t>
            </w:r>
          </w:p>
        </w:tc>
        <w:tc>
          <w:tcPr>
            <w:tcW w:type="dxa" w:w="3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Inactive and disbanded assignments are available for selection in Change Access</w:t>
            </w:r>
          </w:p>
        </w:tc>
        <w:tc>
          <w:tcPr>
            <w:tcW w:type="dxa" w:w="15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FAIL — Data Integrity</w:t>
            </w:r>
          </w:p>
        </w:tc>
        <w:tc>
          <w:tcPr>
            <w:tcW w:type="dxa" w:w="37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RC-3</w:t>
            </w:r>
          </w:p>
        </w:tc>
      </w:tr>
      <w:tr>
        <w:tc>
          <w:tcPr>
            <w:tcW w:type="dxa" w:w="7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7</w:t>
            </w:r>
          </w:p>
        </w:tc>
        <w:tc>
          <w:tcPr>
            <w:tcW w:type="dxa" w:w="3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Assignment numbers are not consistently ordered or formatted</w:t>
            </w:r>
          </w:p>
        </w:tc>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FAIL</w:t>
            </w:r>
          </w:p>
        </w:tc>
        <w:tc>
          <w:tcPr>
            <w:tcW w:type="dxa" w:w="37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RC-7</w:t>
            </w:r>
          </w:p>
        </w:tc>
      </w:tr>
      <w:tr>
        <w:tc>
          <w:tcPr>
            <w:tcW w:type="dxa" w:w="7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8</w:t>
            </w:r>
          </w:p>
        </w:tc>
        <w:tc>
          <w:tcPr>
            <w:tcW w:type="dxa" w:w="3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Organization change does not clear the prior assignment — changing CF to AD retains a CF assignment number</w:t>
            </w:r>
          </w:p>
        </w:tc>
        <w:tc>
          <w:tcPr>
            <w:tcW w:type="dxa" w:w="15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FAIL — Access/Org Boundary</w:t>
            </w:r>
          </w:p>
        </w:tc>
        <w:tc>
          <w:tcPr>
            <w:tcW w:type="dxa" w:w="37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RC-6</w:t>
            </w:r>
          </w:p>
        </w:tc>
      </w:tr>
      <w:tr>
        <w:tc>
          <w:tcPr>
            <w:tcW w:type="dxa" w:w="7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9</w:t>
            </w:r>
          </w:p>
        </w:tc>
        <w:tc>
          <w:tcPr>
            <w:tcW w:type="dxa" w:w="3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Changing back to National does not fully reset permissions — group-level functions remain, National functions missing</w:t>
            </w:r>
          </w:p>
        </w:tc>
        <w:tc>
          <w:tcPr>
            <w:tcW w:type="dxa" w:w="15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FAIL — Role State</w:t>
            </w:r>
          </w:p>
        </w:tc>
        <w:tc>
          <w:tcPr>
            <w:tcW w:type="dxa" w:w="37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RC-4</w:t>
            </w:r>
          </w:p>
        </w:tc>
      </w:tr>
      <w:tr>
        <w:tc>
          <w:tcPr>
            <w:tcW w:type="dxa" w:w="7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w:t>
            </w:r>
          </w:p>
        </w:tc>
        <w:tc>
          <w:tcPr>
            <w:tcW w:type="dxa" w:w="3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Additional UI observation: user name in the application header has insufficient contrast in Dark Mode and appears greyed out</w:t>
            </w:r>
          </w:p>
        </w:tc>
        <w:tc>
          <w:tcPr>
            <w:tcW w:type="dxa" w:w="15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FAIL</w:t>
            </w:r>
          </w:p>
        </w:tc>
        <w:tc>
          <w:tcPr>
            <w:tcW w:type="dxa" w:w="37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RC-7</w:t>
            </w:r>
          </w:p>
        </w:tc>
      </w:tr>
    </w:tbl>
    <w:p>
      <w:pPr>
        <w:spacing w:after="160"/>
      </w:pPr>
      <w:r>
        <w:t xml:space="preserve"/>
      </w:r>
    </w:p>
    <w:p>
      <w:pPr>
        <w:spacing w:after="120" w:line="276"/>
      </w:pPr>
      <w:r>
        <w:rPr>
          <w:b w:val="false"/>
          <w:bCs w:val="false"/>
          <w:i w:val="false"/>
          <w:iCs w:val="false"/>
          <w:sz w:val="20"/>
          <w:szCs w:val="20"/>
        </w:rPr>
        <w:t xml:space="preserve">Sarah's overall conclusion is that the results indicate problems with role transitions, hierarchical Change Access navigation, assignment-number filtering, Organization separation, and the clearing and rebuilding of authorization context after a role change. That summary is accurate and is consistent with the root cause analysis in Section 6.</w:t>
      </w:r>
    </w:p>
    <w:p>
      <w:pPr>
        <w:pStyle w:val="Heading3"/>
        <w:spacing w:after="90" w:before="200"/>
      </w:pPr>
      <w:r>
        <w:rPr>
          <w:b/>
          <w:bCs/>
          <w:color w:val="333333"/>
          <w:sz w:val="21"/>
          <w:szCs w:val="21"/>
        </w:rPr>
        <w:t xml:space="preserve">Detail worth preserving from the individual findings</w:t>
      </w:r>
    </w:p>
    <w:p>
      <w:pPr>
        <w:pStyle w:val="ListParagraph"/>
        <w:numPr>
          <w:ilvl w:val="0"/>
          <w:numId w:val="2"/>
        </w:numPr>
        <w:spacing w:after="70" w:line="276"/>
      </w:pPr>
      <w:r>
        <w:rPr>
          <w:b/>
          <w:bCs/>
          <w:sz w:val="20"/>
          <w:szCs w:val="20"/>
        </w:rPr>
        <w:t xml:space="preserve">Finding 3 — </w:t>
      </w:r>
      <w:r>
        <w:rPr>
          <w:sz w:val="20"/>
          <w:szCs w:val="20"/>
        </w:rPr>
        <w:t xml:space="preserve">three states were captured, all as E. Base III (85906270). At National the Area tiles render correctly. After changing to Area 25 the Territory band is empty. After changing to Territory 2501 the Group band is empty. Sarah also reports that after changing to a Group, the employees within that group are not displayed. The failure is consistent at every level below National.</w:t>
      </w:r>
    </w:p>
    <w:p>
      <w:pPr>
        <w:pStyle w:val="ListParagraph"/>
        <w:numPr>
          <w:ilvl w:val="0"/>
          <w:numId w:val="2"/>
        </w:numPr>
        <w:spacing w:after="70" w:line="276"/>
      </w:pPr>
      <w:r>
        <w:rPr>
          <w:b/>
          <w:bCs/>
          <w:sz w:val="20"/>
          <w:szCs w:val="20"/>
        </w:rPr>
        <w:t xml:space="preserve">Finding 4 — </w:t>
      </w:r>
      <w:r>
        <w:rPr>
          <w:sz w:val="20"/>
          <w:szCs w:val="20"/>
        </w:rPr>
        <w:t xml:space="preserve">three concrete values were captured: at National the header shows </w:t>
      </w:r>
      <w:r>
        <w:rPr>
          <w:rFonts w:ascii="Consolas" w:cs="Consolas" w:eastAsia="Consolas" w:hAnsi="Consolas"/>
          <w:sz w:val="20"/>
          <w:szCs w:val="20"/>
        </w:rPr>
        <w:t xml:space="preserve">8590</w:t>
      </w:r>
      <w:r>
        <w:rPr>
          <w:sz w:val="20"/>
          <w:szCs w:val="20"/>
        </w:rPr>
        <w:t xml:space="preserve">; at Area 25 it shows </w:t>
      </w:r>
      <w:r>
        <w:rPr>
          <w:rFonts w:ascii="Consolas" w:cs="Consolas" w:eastAsia="Consolas" w:hAnsi="Consolas"/>
          <w:sz w:val="20"/>
          <w:szCs w:val="20"/>
        </w:rPr>
        <w:t xml:space="preserve">25</w:t>
      </w:r>
      <w:r>
        <w:rPr>
          <w:sz w:val="20"/>
          <w:szCs w:val="20"/>
        </w:rPr>
        <w:t xml:space="preserve">; at Territory 2501 it shows </w:t>
      </w:r>
      <w:r>
        <w:rPr>
          <w:rFonts w:ascii="Consolas" w:cs="Consolas" w:eastAsia="Consolas" w:hAnsi="Consolas"/>
          <w:sz w:val="20"/>
          <w:szCs w:val="20"/>
        </w:rPr>
        <w:t xml:space="preserve">2501</w:t>
      </w:r>
      <w:r>
        <w:rPr>
          <w:sz w:val="20"/>
          <w:szCs w:val="20"/>
        </w:rPr>
        <w:t xml:space="preserve">. Sarah additionally notes that two assignment-number values appear at the top of the application where the approved mockup shows only the information needed to identify the user's current context.</w:t>
      </w:r>
    </w:p>
    <w:p>
      <w:pPr>
        <w:pStyle w:val="ListParagraph"/>
        <w:numPr>
          <w:ilvl w:val="0"/>
          <w:numId w:val="2"/>
        </w:numPr>
        <w:spacing w:after="70" w:line="276"/>
      </w:pPr>
      <w:r>
        <w:rPr>
          <w:b/>
          <w:bCs/>
          <w:sz w:val="20"/>
          <w:szCs w:val="20"/>
        </w:rPr>
        <w:t xml:space="preserve">Finding 5 — </w:t>
      </w:r>
      <w:r>
        <w:rPr>
          <w:sz w:val="20"/>
          <w:szCs w:val="20"/>
        </w:rPr>
        <w:t xml:space="preserve">approximately four active employees were expected for the tested selection. The population actually displayed was the National current-and-historical population. Sarah's annotation on the evidence is explicit: "I am viewing as group 261314, but when I go to Change Access, the Revenue Officer numbers displaying are the National Analysts, NOT the ROs from this group."</w:t>
      </w:r>
    </w:p>
    <w:p>
      <w:pPr>
        <w:pStyle w:val="ListParagraph"/>
        <w:numPr>
          <w:ilvl w:val="0"/>
          <w:numId w:val="2"/>
        </w:numPr>
        <w:spacing w:after="70" w:line="276"/>
      </w:pPr>
      <w:r>
        <w:rPr>
          <w:b/>
          <w:bCs/>
          <w:sz w:val="20"/>
          <w:szCs w:val="20"/>
        </w:rPr>
        <w:t xml:space="preserve">Finding 6 — </w:t>
      </w:r>
      <w:r>
        <w:rPr>
          <w:sz w:val="20"/>
          <w:szCs w:val="20"/>
        </w:rPr>
        <w:t xml:space="preserve">the legacy terminal capture for group 261314 is included and constitutes the acceptance baseline. Sarah states the governing rule plainly: legacy access depends on the active ICS assignment/profile, and when an ICS assignment is disbanded that change extracts to ENTITY and the associated access is lost.</w:t>
      </w:r>
    </w:p>
    <w:p>
      <w:pPr>
        <w:pStyle w:val="ListParagraph"/>
        <w:numPr>
          <w:ilvl w:val="0"/>
          <w:numId w:val="2"/>
        </w:numPr>
        <w:spacing w:after="70" w:line="276"/>
      </w:pPr>
      <w:r>
        <w:rPr>
          <w:b/>
          <w:bCs/>
          <w:sz w:val="20"/>
          <w:szCs w:val="20"/>
        </w:rPr>
        <w:t xml:space="preserve">Finding 8 — </w:t>
      </w:r>
      <w:r>
        <w:rPr>
          <w:sz w:val="20"/>
          <w:szCs w:val="20"/>
        </w:rPr>
        <w:t xml:space="preserve">the user changed role to AD Area 27 but the application retained the prior CF selection 22163700 in "Viewing As". Sarah's rationale is significant beyond this finding: Field and Advisory use separate assignment-number structures, and even at National level legacy ENTITY assigns separate Area 85 numbers for Field and Advisory access. See Decision D4.</w:t>
      </w:r>
    </w:p>
    <w:p>
      <w:pPr>
        <w:pStyle w:val="ListParagraph"/>
        <w:numPr>
          <w:ilvl w:val="0"/>
          <w:numId w:val="2"/>
        </w:numPr>
        <w:spacing w:after="70" w:line="276"/>
      </w:pPr>
      <w:r>
        <w:rPr>
          <w:b/>
          <w:bCs/>
          <w:sz w:val="20"/>
          <w:szCs w:val="20"/>
        </w:rPr>
        <w:t xml:space="preserve">Finding 9 — </w:t>
      </w:r>
      <w:r>
        <w:rPr>
          <w:sz w:val="20"/>
          <w:szCs w:val="20"/>
        </w:rPr>
        <w:t xml:space="preserve">after reset to National, group-level options remain available, Case Assignment remains displayed, and National-level options such as Utilities are missing. Note that the header in the same capture correctly reads </w:t>
      </w:r>
      <w:r>
        <w:rPr>
          <w:rFonts w:ascii="Consolas" w:cs="Consolas" w:eastAsia="Consolas" w:hAnsi="Consolas"/>
          <w:sz w:val="20"/>
          <w:szCs w:val="20"/>
        </w:rPr>
        <w:t xml:space="preserve">Viewing as: 85906270</w:t>
      </w:r>
      <w:r>
        <w:rPr>
          <w:sz w:val="20"/>
          <w:szCs w:val="20"/>
        </w:rPr>
        <w:t xml:space="preserve"> — the context itself did reset. Only the menu did not.</w:t>
      </w:r>
    </w:p>
    <w:p>
      <w:r>
        <w:br w:type="page"/>
      </w:r>
    </w:p>
    <w:p>
      <w:pPr>
        <w:pStyle w:val="Heading1"/>
        <w:pBdr>
          <w:bottom w:val="single" w:color="1F3864" w:sz="6" w:space="4"/>
        </w:pBdr>
        <w:spacing w:after="160" w:before="360"/>
      </w:pPr>
      <w:r>
        <w:rPr>
          <w:b/>
          <w:bCs/>
          <w:color w:val="1F3864"/>
          <w:sz w:val="30"/>
          <w:szCs w:val="30"/>
        </w:rPr>
        <w:t xml:space="preserve">5.  Specification Traceability</w:t>
      </w:r>
    </w:p>
    <w:p>
      <w:pPr>
        <w:spacing w:after="120" w:line="276"/>
      </w:pPr>
      <w:r>
        <w:rPr>
          <w:b w:val="false"/>
          <w:bCs w:val="false"/>
          <w:i w:val="false"/>
          <w:iCs w:val="false"/>
          <w:sz w:val="20"/>
          <w:szCs w:val="20"/>
        </w:rPr>
        <w:t xml:space="preserve">This section exists to separate defects from changes of specification. Both need to be fixed; they do not need to be estimated, approved or regression-tested the same way. Developers should read the Category column before starting work, because it determines whether a change needs client sign-off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100"/>
        <w:gridCol w:w="3300"/>
        <w:gridCol w:w="1960"/>
      </w:tblGrid>
      <w:tr>
        <w:trPr>
          <w:tblHeader/>
        </w:trPr>
        <w:tc>
          <w:tcPr>
            <w:tcW w:type="dxa" w:w="10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Item</w:t>
            </w:r>
          </w:p>
        </w:tc>
        <w:tc>
          <w:tcPr>
            <w:tcW w:type="dxa" w:w="31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Origin of current behaviour</w:t>
            </w:r>
          </w:p>
        </w:tc>
        <w:tc>
          <w:tcPr>
            <w:tcW w:type="dxa" w:w="33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Assessment</w:t>
            </w:r>
          </w:p>
        </w:tc>
        <w:tc>
          <w:tcPr>
            <w:tcW w:type="dxa" w:w="19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Category</w:t>
            </w:r>
          </w:p>
        </w:tc>
      </w:tr>
      <w:tr>
        <w:tc>
          <w:tcPr>
            <w:tcW w:type="dxa" w:w="1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S2-1, B1, B2
RC-6</w:t>
            </w:r>
          </w:p>
        </w:tc>
        <w:tc>
          <w:tcPr>
            <w:tcW w:type="dxa" w:w="31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Four-field staff Change Role modal (Select New Level, Enter Level, Assignment Number, Select Org) was specified under the ORG segmentation work and demonstrated and accepted in April 2026</w:t>
            </w:r>
          </w:p>
        </w:tc>
        <w:tc>
          <w:tcPr>
            <w:tcW w:type="dxa" w:w="33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The client now wants two fields. The requested design is better — a typed level that is independent of the assignment number allows the two to drift apart, which is the likely mechanism behind findings 8 and 9</w:t>
            </w:r>
          </w:p>
        </w:tc>
        <w:tc>
          <w:tcPr>
            <w:tcW w:type="dxa" w:w="1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Specification change</w:t>
            </w:r>
          </w:p>
        </w:tc>
      </w:tr>
      <w:tr>
        <w:tc>
          <w:tcPr>
            <w:tcW w:type="dxa" w:w="1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S2-2</w:t>
            </w:r>
          </w:p>
        </w:tc>
        <w:tc>
          <w:tcPr>
            <w:tcW w:type="dxa" w:w="31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A saved-default endpoint exists. No written definition of what it persists was ever supplied to development</w:t>
            </w:r>
          </w:p>
        </w:tc>
        <w:tc>
          <w:tcPr>
            <w:tcW w:type="dxa" w:w="33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Sarah's four questions are all reasonable and none can be answered from any requirement in our possession</w:t>
            </w:r>
          </w:p>
        </w:tc>
        <w:tc>
          <w:tcPr>
            <w:tcW w:type="dxa" w:w="19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Specification gap</w:t>
            </w:r>
          </w:p>
        </w:tc>
      </w:tr>
      <w:tr>
        <w:tc>
          <w:tcPr>
            <w:tcW w:type="dxa" w:w="1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S2-3
RC-2</w:t>
            </w:r>
          </w:p>
        </w:tc>
        <w:tc>
          <w:tcPr>
            <w:tcW w:type="dxa" w:w="31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ORG range filtering was added in April 2026 to constrain hierarchy data by organization</w:t>
            </w:r>
          </w:p>
        </w:tc>
        <w:tc>
          <w:tcPr>
            <w:tcW w:type="dxa" w:w="33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The filter appears not to accommodate staff-prefix users. Probable regression introduced by an otherwise correct change</w:t>
            </w:r>
          </w:p>
        </w:tc>
        <w:tc>
          <w:tcPr>
            <w:tcW w:type="dxa" w:w="1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Defect (hypothesis)</w:t>
            </w:r>
          </w:p>
        </w:tc>
      </w:tr>
      <w:tr>
        <w:tc>
          <w:tcPr>
            <w:tcW w:type="dxa" w:w="1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S2-4, B4
RC-5</w:t>
            </w:r>
          </w:p>
        </w:tc>
        <w:tc>
          <w:tcPr>
            <w:tcW w:type="dxa" w:w="31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Header content was specified by the approved mockup S3</w:t>
            </w:r>
          </w:p>
        </w:tc>
        <w:tc>
          <w:tcPr>
            <w:tcW w:type="dxa" w:w="33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Current output does not match S3. This is a deviation from an approved artefact, not an unspecified area</w:t>
            </w:r>
          </w:p>
        </w:tc>
        <w:tc>
          <w:tcPr>
            <w:tcW w:type="dxa" w:w="19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Defect</w:t>
            </w:r>
          </w:p>
        </w:tc>
      </w:tr>
      <w:tr>
        <w:tc>
          <w:tcPr>
            <w:tcW w:type="dxa" w:w="1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S2-5
RC-1</w:t>
            </w:r>
          </w:p>
        </w:tc>
        <w:tc>
          <w:tcPr>
            <w:tcW w:type="dxa" w:w="31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Change Access is a view-as feature; viewing context is held in the context store and returned in the response DTO</w:t>
            </w:r>
          </w:p>
        </w:tc>
        <w:tc>
          <w:tcPr>
            <w:tcW w:type="dxa" w:w="33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The context is stored but not read back by the officer lookup. Straightforward defect</w:t>
            </w:r>
          </w:p>
        </w:tc>
        <w:tc>
          <w:tcPr>
            <w:tcW w:type="dxa" w:w="1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Defect</w:t>
            </w:r>
          </w:p>
        </w:tc>
      </w:tr>
      <w:tr>
        <w:tc>
          <w:tcPr>
            <w:tcW w:type="dxa" w:w="1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S2-6, B3
RC-3</w:t>
            </w:r>
          </w:p>
        </w:tc>
        <w:tc>
          <w:tcPr>
            <w:tcW w:type="dxa" w:w="31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Structural placeholder SEIDs were excluded from the group tile query in April 2026</w:t>
            </w:r>
          </w:p>
        </w:tc>
        <w:tc>
          <w:tcPr>
            <w:tcW w:type="dxa" w:w="33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The equivalent exclusion was never applied to the officer query or the Change Role assignment list. Incomplete fix</w:t>
            </w:r>
          </w:p>
        </w:tc>
        <w:tc>
          <w:tcPr>
            <w:tcW w:type="dxa" w:w="19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Defect — incomplete</w:t>
            </w:r>
          </w:p>
        </w:tc>
      </w:tr>
      <w:tr>
        <w:tc>
          <w:tcPr>
            <w:tcW w:type="dxa" w:w="1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S2-7</w:t>
            </w:r>
          </w:p>
        </w:tc>
        <w:tc>
          <w:tcPr>
            <w:tcW w:type="dxa" w:w="31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No ordering or tile formatting requirement was ever supplied</w:t>
            </w:r>
          </w:p>
        </w:tc>
        <w:tc>
          <w:tcPr>
            <w:tcW w:type="dxa" w:w="33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Sarah's request (numerical organizational order, standardized alignment) is reasonable and matches legacy</w:t>
            </w:r>
          </w:p>
        </w:tc>
        <w:tc>
          <w:tcPr>
            <w:tcW w:type="dxa" w:w="1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Specification gap</w:t>
            </w:r>
          </w:p>
        </w:tc>
      </w:tr>
      <w:tr>
        <w:tc>
          <w:tcPr>
            <w:tcW w:type="dxa" w:w="1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S2-8
RC-6</w:t>
            </w:r>
          </w:p>
        </w:tc>
        <w:tc>
          <w:tcPr>
            <w:tcW w:type="dxa" w:w="31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Org selection was added April 2026; assignment revalidation on Org change was not specified</w:t>
            </w:r>
          </w:p>
        </w:tc>
        <w:tc>
          <w:tcPr>
            <w:tcW w:type="dxa" w:w="33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Retaining a CF assignment into an AD session is an access-boundary problem and should be treated as a defect regardless of specification history</w:t>
            </w:r>
          </w:p>
        </w:tc>
        <w:tc>
          <w:tcPr>
            <w:tcW w:type="dxa" w:w="19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Defect</w:t>
            </w:r>
          </w:p>
        </w:tc>
      </w:tr>
      <w:tr>
        <w:tc>
          <w:tcPr>
            <w:tcW w:type="dxa" w:w="1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S2-9
RC-4</w:t>
            </w:r>
          </w:p>
        </w:tc>
        <w:tc>
          <w:tcPr>
            <w:tcW w:type="dxa" w:w="31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Menu permissions are derived from ELEVEL</w:t>
            </w:r>
          </w:p>
        </w:tc>
        <w:tc>
          <w:tcPr>
            <w:tcW w:type="dxa" w:w="33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Menu is not recomputed on reset. Defect, subject to confirming it is not client-side cache</w:t>
            </w:r>
          </w:p>
        </w:tc>
        <w:tc>
          <w:tcPr>
            <w:tcW w:type="dxa" w:w="1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Defect (verify)</w:t>
            </w:r>
          </w:p>
        </w:tc>
      </w:tr>
      <w:tr>
        <w:tc>
          <w:tcPr>
            <w:tcW w:type="dxa" w:w="1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Dark mode</w:t>
            </w:r>
          </w:p>
        </w:tc>
        <w:tc>
          <w:tcPr>
            <w:tcW w:type="dxa" w:w="31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No accessibility or dark-mode requirement was supplied</w:t>
            </w:r>
          </w:p>
        </w:tc>
        <w:tc>
          <w:tcPr>
            <w:tcW w:type="dxa" w:w="33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Legitimate accessibility defect irrespective of specification history</w:t>
            </w:r>
          </w:p>
        </w:tc>
        <w:tc>
          <w:tcPr>
            <w:tcW w:type="dxa" w:w="19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Defect</w:t>
            </w:r>
          </w:p>
        </w:tc>
      </w:tr>
      <w:tr>
        <w:tc>
          <w:tcPr>
            <w:tcW w:type="dxa" w:w="1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ELEVEL 7 / AGM</w:t>
            </w:r>
          </w:p>
        </w:tc>
        <w:tc>
          <w:tcPr>
            <w:tcW w:type="dxa" w:w="31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Original RBAC specification documented ELEVEL 7 as Acting Group Manager able to view group or self, chosen at login. The selectable choice was never implemented</w:t>
            </w:r>
          </w:p>
        </w:tc>
        <w:tc>
          <w:tcPr>
            <w:tcW w:type="dxa" w:w="33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Client is now requesting end-to-end demonstration. This is unbuilt scope, not a defect</w:t>
            </w:r>
          </w:p>
        </w:tc>
        <w:tc>
          <w:tcPr>
            <w:tcW w:type="dxa" w:w="1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Not built</w:t>
            </w:r>
          </w:p>
        </w:tc>
      </w:tr>
    </w:tbl>
    <w:p>
      <w:pPr>
        <w:spacing w:after="160"/>
      </w:pPr>
      <w:r>
        <w:t xml:space="preserve"/>
      </w:r>
    </w:p>
    <w:p>
      <w:pPr>
        <w:pBdr>
          <w:left w:val="single" w:color="2E5496" w:sz="18" w:space="10"/>
        </w:pBdr>
        <w:spacing w:after="160" w:before="140" w:line="276"/>
        <w:ind w:left="200"/>
      </w:pPr>
      <w:r>
        <w:rPr>
          <w:b/>
          <w:bCs/>
          <w:color w:val="2E5496"/>
          <w:sz w:val="20"/>
          <w:szCs w:val="20"/>
        </w:rPr>
        <w:t xml:space="preserve">How to use this table.  </w:t>
      </w:r>
      <w:r>
        <w:rPr>
          <w:sz w:val="20"/>
          <w:szCs w:val="20"/>
        </w:rPr>
        <w:t xml:space="preserve">Six items are defects and should proceed directly. Two are specification changes and require sign-off before development. Two are specification gaps where the client must supply a definition before anything can be built. One is unbuilt scope requiring estimation. Attempting to fix a specification gap by guessing at intent will produce a second round of findings.</w:t>
      </w:r>
    </w:p>
    <w:p>
      <w:r>
        <w:br w:type="page"/>
      </w:r>
    </w:p>
    <w:p>
      <w:pPr>
        <w:pStyle w:val="Heading1"/>
        <w:pBdr>
          <w:bottom w:val="single" w:color="1F3864" w:sz="6" w:space="4"/>
        </w:pBdr>
        <w:spacing w:after="160" w:before="360"/>
      </w:pPr>
      <w:r>
        <w:rPr>
          <w:b/>
          <w:bCs/>
          <w:color w:val="1F3864"/>
          <w:sz w:val="30"/>
          <w:szCs w:val="30"/>
        </w:rPr>
        <w:t xml:space="preserve">6.  Root Cause Analysis</w:t>
      </w:r>
    </w:p>
    <w:p>
      <w:pPr>
        <w:spacing w:after="120" w:line="276"/>
      </w:pPr>
      <w:r>
        <w:rPr>
          <w:b w:val="false"/>
          <w:bCs w:val="false"/>
          <w:i w:val="false"/>
          <w:iCs w:val="false"/>
          <w:sz w:val="20"/>
          <w:szCs w:val="20"/>
        </w:rPr>
        <w:t xml:space="preserve">Confidence is stated for each root cause. Where it is Hypothesis, the diagnostic that would confirm or eliminate it is given in Section 9 and must be run before code is changed.</w:t>
      </w:r>
    </w:p>
    <w:p>
      <w:pPr>
        <w:pStyle w:val="Heading2"/>
        <w:spacing w:after="110" w:before="260"/>
      </w:pPr>
      <w:r>
        <w:rPr>
          <w:b/>
          <w:bCs/>
          <w:color w:val="2E5496"/>
          <w:sz w:val="24"/>
          <w:szCs w:val="24"/>
        </w:rPr>
        <w:t xml:space="preserve">RC-1  Viewing context is not applied to officer and employee lookups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Findings</w:t>
            </w:r>
          </w:p>
        </w:tc>
        <w:tc>
          <w:tcPr>
            <w:tcW w:type="dxa" w:w="7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S2-5 (primary); contributes to S2-6</w:t>
            </w:r>
          </w:p>
        </w:tc>
      </w:tr>
      <w:tr>
        <w:tc>
          <w:tcPr>
            <w:tcW w:type="dxa" w:w="18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bCs/>
                <w:sz w:val="18"/>
                <w:szCs w:val="18"/>
              </w:rPr>
              <w:t xml:space="preserve">Severity</w:t>
            </w:r>
          </w:p>
        </w:tc>
        <w:tc>
          <w:tcPr>
            <w:tcW w:type="dxa" w:w="7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Critical — data scope</w:t>
            </w:r>
          </w:p>
        </w:tc>
      </w:tr>
      <w:t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Confidence</w:t>
            </w:r>
          </w:p>
        </w:tc>
        <w:tc>
          <w:tcPr>
            <w:tcW w:type="dxa" w:w="7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High</w:t>
            </w:r>
          </w:p>
        </w:tc>
      </w:tr>
    </w:tbl>
    <w:p>
      <w:pPr>
        <w:spacing w:after="100"/>
      </w:pPr>
      <w:r>
        <w:t xml:space="preserve"/>
      </w:r>
    </w:p>
    <w:p>
      <w:pPr>
        <w:pStyle w:val="Heading3"/>
        <w:spacing w:after="90" w:before="200"/>
      </w:pPr>
      <w:r>
        <w:rPr>
          <w:b/>
          <w:bCs/>
          <w:color w:val="333333"/>
          <w:sz w:val="21"/>
          <w:szCs w:val="21"/>
        </w:rPr>
        <w:t xml:space="preserve">Evidence</w:t>
      </w:r>
    </w:p>
    <w:p>
      <w:pPr>
        <w:spacing w:after="120" w:line="276"/>
      </w:pPr>
      <w:r>
        <w:rPr>
          <w:b w:val="false"/>
          <w:bCs w:val="false"/>
          <w:i w:val="false"/>
          <w:iCs w:val="false"/>
          <w:sz w:val="20"/>
          <w:szCs w:val="20"/>
        </w:rPr>
        <w:t xml:space="preserve">Two users viewing two different groups received byte-for-byte comparable officer lists, each consisting of the 859062 national staff population. The returned set corresponds to the six-digit prefix of the requesting user's own assignment number, not to the selected group.</w:t>
      </w:r>
    </w:p>
    <w:p>
      <w:pPr>
        <w:pStyle w:val="Heading3"/>
        <w:spacing w:after="90" w:before="200"/>
      </w:pPr>
      <w:r>
        <w:rPr>
          <w:b/>
          <w:bCs/>
          <w:color w:val="333333"/>
          <w:sz w:val="21"/>
          <w:szCs w:val="21"/>
        </w:rPr>
        <w:t xml:space="preserve">Assessment</w:t>
      </w:r>
    </w:p>
    <w:p>
      <w:pPr>
        <w:spacing w:after="120" w:line="276"/>
      </w:pPr>
      <w:r>
        <w:rPr>
          <w:b w:val="false"/>
          <w:bCs w:val="false"/>
          <w:i w:val="false"/>
          <w:iCs w:val="false"/>
          <w:sz w:val="20"/>
          <w:szCs w:val="20"/>
        </w:rPr>
        <w:t xml:space="preserve">The officer lookup is deriving its group key from the logged-in user's base assignment rather than from the active viewing context. The query itself is probably correct; it is being called with the wrong parameter. This is the same defect class as the March 2026 issue in which a prefix length was computed and then not passed to the query it was computed for.</w:t>
      </w:r>
    </w:p>
    <w:p>
      <w:pPr>
        <w:pStyle w:val="Heading3"/>
        <w:spacing w:after="90" w:before="200"/>
      </w:pPr>
      <w:r>
        <w:rPr>
          <w:b/>
          <w:bCs/>
          <w:color w:val="333333"/>
          <w:sz w:val="21"/>
          <w:szCs w:val="21"/>
        </w:rPr>
        <w:t xml:space="preserve">Investigation starting points</w:t>
      </w:r>
    </w:p>
    <w:p>
      <w:pPr>
        <w:pStyle w:val="ListParagraph"/>
        <w:numPr>
          <w:ilvl w:val="0"/>
          <w:numId w:val="2"/>
        </w:numPr>
        <w:spacing w:after="70" w:line="276"/>
      </w:pPr>
      <w:r>
        <w:rPr>
          <w:rFonts w:ascii="Consolas" w:cs="Consolas" w:eastAsia="Consolas" w:hAnsi="Consolas"/>
          <w:sz w:val="20"/>
          <w:szCs w:val="20"/>
        </w:rPr>
        <w:t xml:space="preserve">ChangeAccessService</w:t>
      </w:r>
      <w:r>
        <w:rPr>
          <w:sz w:val="20"/>
          <w:szCs w:val="20"/>
        </w:rPr>
        <w:t xml:space="preserve"> — the officer-building path and the methods that assemble the Change Access configuration and current context</w:t>
      </w:r>
    </w:p>
    <w:p>
      <w:pPr>
        <w:pStyle w:val="ListParagraph"/>
        <w:numPr>
          <w:ilvl w:val="0"/>
          <w:numId w:val="2"/>
        </w:numPr>
        <w:spacing w:after="70" w:line="276"/>
      </w:pPr>
      <w:r>
        <w:rPr>
          <w:rFonts w:ascii="Consolas" w:cs="Consolas" w:eastAsia="Consolas" w:hAnsi="Consolas"/>
          <w:sz w:val="20"/>
          <w:szCs w:val="20"/>
        </w:rPr>
        <w:t xml:space="preserve">ChangeAccessConfigService</w:t>
      </w:r>
      <w:r>
        <w:rPr>
          <w:sz w:val="20"/>
          <w:szCs w:val="20"/>
        </w:rPr>
        <w:t xml:space="preserve"> — confirm which code the officer query receives</w:t>
      </w:r>
    </w:p>
    <w:p>
      <w:pPr>
        <w:pStyle w:val="ListParagraph"/>
        <w:numPr>
          <w:ilvl w:val="0"/>
          <w:numId w:val="2"/>
        </w:numPr>
        <w:spacing w:after="70" w:line="276"/>
      </w:pPr>
      <w:r>
        <w:rPr>
          <w:rFonts w:ascii="Consolas" w:cs="Consolas" w:eastAsia="Consolas" w:hAnsi="Consolas"/>
          <w:sz w:val="20"/>
          <w:szCs w:val="20"/>
        </w:rPr>
        <w:t xml:space="preserve">EntEmpRepository</w:t>
      </w:r>
      <w:r>
        <w:rPr>
          <w:sz w:val="20"/>
          <w:szCs w:val="20"/>
        </w:rPr>
        <w:t xml:space="preserve"> — the officer-by-group query; verify it is reached with the selected group code</w:t>
      </w:r>
    </w:p>
    <w:p>
      <w:pPr>
        <w:pStyle w:val="ListParagraph"/>
        <w:numPr>
          <w:ilvl w:val="0"/>
          <w:numId w:val="2"/>
        </w:numPr>
        <w:spacing w:after="70" w:line="276"/>
      </w:pPr>
      <w:r>
        <w:rPr>
          <w:rFonts w:ascii="Consolas" w:cs="Consolas" w:eastAsia="Consolas" w:hAnsi="Consolas"/>
          <w:sz w:val="20"/>
          <w:szCs w:val="20"/>
        </w:rPr>
        <w:t xml:space="preserve">NationalSlice.ts</w:t>
      </w:r>
      <w:r>
        <w:rPr>
          <w:sz w:val="20"/>
          <w:szCs w:val="20"/>
        </w:rPr>
        <w:t xml:space="preserve"> — confirm the frontend sends the selected code rather than relying on server-side session inference</w:t>
      </w:r>
    </w:p>
    <w:p>
      <w:pPr>
        <w:pStyle w:val="Heading3"/>
        <w:spacing w:after="90" w:before="200"/>
      </w:pPr>
      <w:r>
        <w:rPr>
          <w:b/>
          <w:bCs/>
          <w:color w:val="333333"/>
          <w:sz w:val="21"/>
          <w:szCs w:val="21"/>
        </w:rPr>
        <w:t xml:space="preserve">Required behaviour</w:t>
      </w:r>
    </w:p>
    <w:p>
      <w:pPr>
        <w:spacing w:after="120" w:line="276"/>
      </w:pPr>
      <w:r>
        <w:rPr>
          <w:b w:val="false"/>
          <w:bCs w:val="false"/>
          <w:i w:val="false"/>
          <w:iCs w:val="false"/>
          <w:sz w:val="20"/>
          <w:szCs w:val="20"/>
        </w:rPr>
        <w:t xml:space="preserve">The group code used for the officer lookup must come from the active viewing context when Change Access is in effect, falling back to the user's base assignment only when it is not. The viewing context is already persisted and already returned in the response DTO; it is not being consumed.</w:t>
      </w:r>
    </w:p>
    <w:p>
      <w:pPr>
        <w:spacing w:after="200"/>
      </w:pPr>
      <w:r>
        <w:t xml:space="preserve"/>
      </w:r>
    </w:p>
    <w:p>
      <w:pPr>
        <w:pStyle w:val="Heading2"/>
        <w:spacing w:after="110" w:before="260"/>
      </w:pPr>
      <w:r>
        <w:rPr>
          <w:b/>
          <w:bCs/>
          <w:color w:val="2E5496"/>
          <w:sz w:val="24"/>
          <w:szCs w:val="24"/>
        </w:rPr>
        <w:t xml:space="preserve">RC-2  Hierarchy drill-down returns empty below National for staff-prefix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Findings</w:t>
            </w:r>
          </w:p>
        </w:tc>
        <w:tc>
          <w:tcPr>
            <w:tcW w:type="dxa" w:w="7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S2-3</w:t>
            </w:r>
          </w:p>
        </w:tc>
      </w:tr>
      <w:tr>
        <w:tc>
          <w:tcPr>
            <w:tcW w:type="dxa" w:w="18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bCs/>
                <w:sz w:val="18"/>
                <w:szCs w:val="18"/>
              </w:rPr>
              <w:t xml:space="preserve">Severity</w:t>
            </w:r>
          </w:p>
        </w:tc>
        <w:tc>
          <w:tcPr>
            <w:tcW w:type="dxa" w:w="7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Critical — feature unusable below National</w:t>
            </w:r>
          </w:p>
        </w:tc>
      </w:tr>
      <w:t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Confidence</w:t>
            </w:r>
          </w:p>
        </w:tc>
        <w:tc>
          <w:tcPr>
            <w:tcW w:type="dxa" w:w="7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Hypothesis — must be confirmed before code changes</w:t>
            </w:r>
          </w:p>
        </w:tc>
      </w:tr>
    </w:tbl>
    <w:p>
      <w:pPr>
        <w:spacing w:after="100"/>
      </w:pPr>
      <w:r>
        <w:t xml:space="preserve"/>
      </w:r>
    </w:p>
    <w:p>
      <w:pPr>
        <w:pStyle w:val="Heading3"/>
        <w:spacing w:after="90" w:before="200"/>
      </w:pPr>
      <w:r>
        <w:rPr>
          <w:b/>
          <w:bCs/>
          <w:color w:val="333333"/>
          <w:sz w:val="21"/>
          <w:szCs w:val="21"/>
        </w:rPr>
        <w:t xml:space="preserve">Evidence</w:t>
      </w:r>
    </w:p>
    <w:p>
      <w:pPr>
        <w:spacing w:after="120" w:line="276"/>
      </w:pPr>
      <w:r>
        <w:rPr>
          <w:b w:val="false"/>
          <w:bCs w:val="false"/>
          <w:i w:val="false"/>
          <w:iCs w:val="false"/>
          <w:sz w:val="20"/>
          <w:szCs w:val="20"/>
        </w:rPr>
        <w:t xml:space="preserve">Reproduced by Sarah at Area and Territory. Every user in the reported thread holds a staff-prefix assignment: Brian 85906288, Eric 85906270, Sarah 85906265. All resolve to the same six-digit prefix, 859062.</w:t>
      </w:r>
    </w:p>
    <w:p>
      <w:pPr>
        <w:pStyle w:val="Heading3"/>
        <w:spacing w:after="90" w:before="200"/>
      </w:pPr>
      <w:r>
        <w:rPr>
          <w:b/>
          <w:bCs/>
          <w:color w:val="333333"/>
          <w:sz w:val="21"/>
          <w:szCs w:val="21"/>
        </w:rPr>
        <w:t xml:space="preserve">Assessment</w:t>
      </w:r>
    </w:p>
    <w:p>
      <w:pPr>
        <w:spacing w:after="120" w:line="276"/>
      </w:pPr>
      <w:r>
        <w:rPr>
          <w:b w:val="false"/>
          <w:bCs w:val="false"/>
          <w:i w:val="false"/>
          <w:iCs w:val="false"/>
          <w:sz w:val="20"/>
          <w:szCs w:val="20"/>
        </w:rPr>
        <w:t xml:space="preserve">The organization range configuration defines hierarchy ranges for the four operational organizations — CF, WI, AD and CP. A staff-prefix assignment resolves to a staff organization type, which has no hierarchy ranges defined because it is an identity marker rather than an operating organization. If that value is passed into the range filter, every level below National returns an empty set. National continues to work because the Area tiles are assembled by a path that is not range-filtered.</w:t>
      </w:r>
    </w:p>
    <w:p>
      <w:pPr>
        <w:pBdr>
          <w:left w:val="single" w:color="C00000" w:sz="18" w:space="10"/>
        </w:pBdr>
        <w:spacing w:after="160" w:before="140" w:line="276"/>
        <w:ind w:left="200"/>
      </w:pPr>
      <w:r>
        <w:rPr>
          <w:b/>
          <w:bCs/>
          <w:color w:val="C00000"/>
          <w:sz w:val="20"/>
          <w:szCs w:val="20"/>
        </w:rPr>
        <w:t xml:space="preserve">Corroborating detail.  </w:t>
      </w:r>
      <w:r>
        <w:rPr>
          <w:sz w:val="20"/>
          <w:szCs w:val="20"/>
        </w:rPr>
        <w:t xml:space="preserve">The Change Role modal displays "Current Org: CF" for a user whose assignment number resolves to staff. The application holds two different answers to the question of which organization this user is operating in. For staff users the operating organization must come from the selected Org, not from the assignment prefix — the prefix establishes that they are staff, not where they work.</w:t>
      </w:r>
    </w:p>
    <w:p>
      <w:pPr>
        <w:pStyle w:val="Heading3"/>
        <w:spacing w:after="90" w:before="200"/>
      </w:pPr>
      <w:r>
        <w:rPr>
          <w:b/>
          <w:bCs/>
          <w:color w:val="333333"/>
          <w:sz w:val="21"/>
          <w:szCs w:val="21"/>
        </w:rPr>
        <w:t xml:space="preserve">Investigation starting points</w:t>
      </w:r>
    </w:p>
    <w:p>
      <w:pPr>
        <w:pStyle w:val="ListParagraph"/>
        <w:numPr>
          <w:ilvl w:val="0"/>
          <w:numId w:val="2"/>
        </w:numPr>
        <w:spacing w:after="70" w:line="276"/>
      </w:pPr>
      <w:r>
        <w:rPr>
          <w:rFonts w:ascii="Consolas" w:cs="Consolas" w:eastAsia="Consolas" w:hAnsi="Consolas"/>
          <w:sz w:val="20"/>
          <w:szCs w:val="20"/>
        </w:rPr>
        <w:t xml:space="preserve">OrgType</w:t>
      </w:r>
      <w:r>
        <w:rPr>
          <w:sz w:val="20"/>
          <w:szCs w:val="20"/>
        </w:rPr>
        <w:t xml:space="preserve"> and </w:t>
      </w:r>
      <w:r>
        <w:rPr>
          <w:rFonts w:ascii="Consolas" w:cs="Consolas" w:eastAsia="Consolas" w:hAnsi="Consolas"/>
          <w:sz w:val="20"/>
          <w:szCs w:val="20"/>
        </w:rPr>
        <w:t xml:space="preserve">OrgRangeConfig</w:t>
      </w:r>
      <w:r>
        <w:rPr>
          <w:sz w:val="20"/>
          <w:szCs w:val="20"/>
        </w:rPr>
        <w:t xml:space="preserve"> — confirm behaviour when a staff organization type reaches a range lookup</w:t>
      </w:r>
    </w:p>
    <w:p>
      <w:pPr>
        <w:pStyle w:val="ListParagraph"/>
        <w:numPr>
          <w:ilvl w:val="0"/>
          <w:numId w:val="2"/>
        </w:numPr>
        <w:spacing w:after="70" w:line="276"/>
      </w:pPr>
      <w:r>
        <w:rPr>
          <w:rFonts w:ascii="Consolas" w:cs="Consolas" w:eastAsia="Consolas" w:hAnsi="Consolas"/>
          <w:sz w:val="20"/>
          <w:szCs w:val="20"/>
        </w:rPr>
        <w:t xml:space="preserve">ChangeAccessConfigService</w:t>
      </w:r>
      <w:r>
        <w:rPr>
          <w:sz w:val="20"/>
          <w:szCs w:val="20"/>
        </w:rPr>
        <w:t xml:space="preserve"> — the territory and group builders</w:t>
      </w:r>
    </w:p>
    <w:p>
      <w:pPr>
        <w:pStyle w:val="ListParagraph"/>
        <w:numPr>
          <w:ilvl w:val="0"/>
          <w:numId w:val="2"/>
        </w:numPr>
        <w:spacing w:after="70" w:line="276"/>
      </w:pPr>
      <w:r>
        <w:rPr>
          <w:rFonts w:ascii="Consolas" w:cs="Consolas" w:eastAsia="Consolas" w:hAnsi="Consolas"/>
          <w:sz w:val="20"/>
          <w:szCs w:val="20"/>
        </w:rPr>
        <w:t xml:space="preserve">NationalSlice.ts</w:t>
      </w:r>
      <w:r>
        <w:rPr>
          <w:sz w:val="20"/>
          <w:szCs w:val="20"/>
        </w:rPr>
        <w:t xml:space="preserve"> — the territory and group fetch thunks and the organization type query parameter they append</w:t>
      </w:r>
    </w:p>
    <w:p>
      <w:pPr>
        <w:pBdr>
          <w:left w:val="single" w:color="2E5496" w:sz="18" w:space="10"/>
        </w:pBdr>
        <w:spacing w:after="160" w:before="140" w:line="276"/>
        <w:ind w:left="200"/>
      </w:pPr>
      <w:r>
        <w:rPr>
          <w:b/>
          <w:bCs/>
          <w:color w:val="2E5496"/>
          <w:sz w:val="20"/>
          <w:szCs w:val="20"/>
        </w:rPr>
        <w:t xml:space="preserve">Related open question.  </w:t>
      </w:r>
      <w:r>
        <w:rPr>
          <w:sz w:val="20"/>
          <w:szCs w:val="20"/>
        </w:rPr>
        <w:t xml:space="preserve">Sarah states that legacy assigns separate Area 85 numbers for Field and Advisory even at National level. If correct, 859062 is not a generic staff marker but one specific national organization, and the organization type enumeration is incomplete rather than merely unhandled. See Decision D4 — this determines whether the fix is a guard clause or a data model correction.</w:t>
      </w:r>
    </w:p>
    <w:p>
      <w:pPr>
        <w:spacing w:after="220"/>
      </w:pPr>
      <w:r>
        <w:t xml:space="preserve"/>
      </w:r>
    </w:p>
    <w:p>
      <w:pPr>
        <w:pStyle w:val="Heading2"/>
        <w:spacing w:after="110" w:before="260"/>
      </w:pPr>
      <w:r>
        <w:rPr>
          <w:b/>
          <w:bCs/>
          <w:color w:val="2E5496"/>
          <w:sz w:val="24"/>
          <w:szCs w:val="24"/>
        </w:rPr>
        <w:t xml:space="preserve">RC-3  Officer and assignment lists are not filtered to active, real, distinct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Findings</w:t>
            </w:r>
          </w:p>
        </w:tc>
        <w:tc>
          <w:tcPr>
            <w:tcW w:type="dxa" w:w="7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S2-5 (secondary), S2-6, B3</w:t>
            </w:r>
          </w:p>
        </w:tc>
      </w:tr>
      <w:tr>
        <w:tc>
          <w:tcPr>
            <w:tcW w:type="dxa" w:w="18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bCs/>
                <w:sz w:val="18"/>
                <w:szCs w:val="18"/>
              </w:rPr>
              <w:t xml:space="preserve">Severity</w:t>
            </w:r>
          </w:p>
        </w:tc>
        <w:tc>
          <w:tcPr>
            <w:tcW w:type="dxa" w:w="7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High — data integrity and access boundary</w:t>
            </w:r>
          </w:p>
        </w:tc>
      </w:tr>
      <w:t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Confidence</w:t>
            </w:r>
          </w:p>
        </w:tc>
        <w:tc>
          <w:tcPr>
            <w:tcW w:type="dxa" w:w="7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High</w:t>
            </w:r>
          </w:p>
        </w:tc>
      </w:tr>
    </w:tbl>
    <w:p>
      <w:pPr>
        <w:spacing w:after="100"/>
      </w:pPr>
      <w:r>
        <w:t xml:space="preserve"/>
      </w:r>
    </w:p>
    <w:p>
      <w:pPr>
        <w:pStyle w:val="Heading3"/>
        <w:spacing w:after="90" w:before="200"/>
      </w:pPr>
      <w:r>
        <w:rPr>
          <w:b/>
          <w:bCs/>
          <w:color w:val="333333"/>
          <w:sz w:val="21"/>
          <w:szCs w:val="21"/>
        </w:rPr>
        <w:t xml:space="preserve">Evidence</w:t>
      </w:r>
    </w:p>
    <w:p>
      <w:pPr>
        <w:pStyle w:val="ListParagraph"/>
        <w:numPr>
          <w:ilvl w:val="0"/>
          <w:numId w:val="2"/>
        </w:numPr>
        <w:spacing w:after="70" w:line="276"/>
      </w:pPr>
      <w:r>
        <w:rPr>
          <w:sz w:val="20"/>
          <w:szCs w:val="20"/>
        </w:rPr>
        <w:t xml:space="preserve">Retired and separated employees appear in the officer list.</w:t>
      </w:r>
    </w:p>
    <w:p>
      <w:pPr>
        <w:pStyle w:val="ListParagraph"/>
        <w:numPr>
          <w:ilvl w:val="0"/>
          <w:numId w:val="2"/>
        </w:numPr>
        <w:spacing w:after="70" w:line="276"/>
      </w:pPr>
      <w:r>
        <w:rPr>
          <w:sz w:val="20"/>
          <w:szCs w:val="20"/>
        </w:rPr>
        <w:t xml:space="preserve">Duplicate records: Michael E Godwin, Norman Guttman and Wendy B Grove each appear twice in the same grid.</w:t>
      </w:r>
    </w:p>
    <w:p>
      <w:pPr>
        <w:pStyle w:val="ListParagraph"/>
        <w:numPr>
          <w:ilvl w:val="0"/>
          <w:numId w:val="2"/>
        </w:numPr>
        <w:spacing w:after="70" w:line="276"/>
      </w:pPr>
      <w:r>
        <w:rPr>
          <w:sz w:val="20"/>
          <w:szCs w:val="20"/>
        </w:rPr>
        <w:t xml:space="preserve">Structural placeholder rows appear as selectable officers — </w:t>
      </w:r>
      <w:r>
        <w:rPr>
          <w:rFonts w:ascii="Consolas" w:cs="Consolas" w:eastAsia="Consolas" w:hAnsi="Consolas"/>
          <w:sz w:val="20"/>
          <w:szCs w:val="20"/>
        </w:rPr>
        <w:t xml:space="preserve">22163790 GROUP DESIGNATION</w:t>
      </w:r>
      <w:r>
        <w:rPr>
          <w:sz w:val="20"/>
          <w:szCs w:val="20"/>
        </w:rPr>
        <w:t xml:space="preserve">, </w:t>
      </w:r>
      <w:r>
        <w:rPr>
          <w:rFonts w:ascii="Consolas" w:cs="Consolas" w:eastAsia="Consolas" w:hAnsi="Consolas"/>
          <w:sz w:val="20"/>
          <w:szCs w:val="20"/>
        </w:rPr>
        <w:t xml:space="preserve">22163799 NON COP CASE HOLD FILE</w:t>
      </w:r>
      <w:r>
        <w:rPr>
          <w:sz w:val="20"/>
          <w:szCs w:val="20"/>
        </w:rPr>
        <w:t xml:space="preserve">, and four entries marked B/U.</w:t>
      </w:r>
    </w:p>
    <w:p>
      <w:pPr>
        <w:pStyle w:val="ListParagraph"/>
        <w:numPr>
          <w:ilvl w:val="0"/>
          <w:numId w:val="2"/>
        </w:numPr>
        <w:spacing w:after="70" w:line="276"/>
      </w:pPr>
      <w:r>
        <w:rPr>
          <w:sz w:val="20"/>
          <w:szCs w:val="20"/>
        </w:rPr>
        <w:t xml:space="preserve">A placeholder row was successfully selected as an access context. Finding 8's evidence shows the header reading </w:t>
      </w:r>
      <w:r>
        <w:rPr>
          <w:rFonts w:ascii="Consolas" w:cs="Consolas" w:eastAsia="Consolas" w:hAnsi="Consolas"/>
          <w:sz w:val="20"/>
          <w:szCs w:val="20"/>
        </w:rPr>
        <w:t xml:space="preserve">Viewing as: GROUP DESIGNATION (22163700)</w:t>
      </w:r>
      <w:r>
        <w:rPr>
          <w:sz w:val="20"/>
          <w:szCs w:val="20"/>
        </w:rPr>
        <w:t xml:space="preserve">.</w:t>
      </w:r>
    </w:p>
    <w:p>
      <w:pPr>
        <w:pStyle w:val="ListParagraph"/>
        <w:numPr>
          <w:ilvl w:val="0"/>
          <w:numId w:val="2"/>
        </w:numPr>
        <w:spacing w:after="70" w:line="276"/>
      </w:pPr>
      <w:r>
        <w:rPr>
          <w:sz w:val="20"/>
          <w:szCs w:val="20"/>
        </w:rPr>
        <w:t xml:space="preserve">Change Role continues to offer disbanded assignment numbers at ELEVEL -2 (Brian, B3).</w:t>
      </w:r>
    </w:p>
    <w:p>
      <w:pPr>
        <w:pStyle w:val="Heading3"/>
        <w:spacing w:after="90" w:before="200"/>
      </w:pPr>
      <w:r>
        <w:rPr>
          <w:b/>
          <w:bCs/>
          <w:color w:val="333333"/>
          <w:sz w:val="21"/>
          <w:szCs w:val="21"/>
        </w:rPr>
        <w:t xml:space="preserve">Assessment</w:t>
      </w:r>
    </w:p>
    <w:p>
      <w:pPr>
        <w:spacing w:after="120" w:line="276"/>
      </w:pPr>
      <w:r>
        <w:rPr>
          <w:b w:val="false"/>
          <w:bCs w:val="false"/>
          <w:i w:val="false"/>
          <w:iCs w:val="false"/>
          <w:sz w:val="20"/>
          <w:szCs w:val="20"/>
        </w:rPr>
        <w:t xml:space="preserve">The officer query applies a broad active-status predicate with no exclusion of blocked or vacant records, no exclusion of structural placeholder identifiers, and no collapse to a single row per employee. In April 2026 structural identifiers were excluded from the group tile query; the equivalent exclusion was never applied to the officer query or to the Change Role assignment list.</w:t>
      </w:r>
    </w:p>
    <w:p>
      <w:pPr>
        <w:pStyle w:val="Heading3"/>
        <w:spacing w:after="90" w:before="200"/>
      </w:pPr>
      <w:r>
        <w:rPr>
          <w:b/>
          <w:bCs/>
          <w:color w:val="333333"/>
          <w:sz w:val="21"/>
          <w:szCs w:val="21"/>
        </w:rPr>
        <w:t xml:space="preserve">Acceptance baseline</w:t>
      </w:r>
    </w:p>
    <w:p>
      <w:pPr>
        <w:spacing w:after="120" w:line="276"/>
      </w:pPr>
      <w:r>
        <w:rPr>
          <w:b w:val="false"/>
          <w:bCs w:val="false"/>
          <w:i w:val="false"/>
          <w:iCs w:val="false"/>
          <w:sz w:val="20"/>
          <w:szCs w:val="20"/>
        </w:rPr>
        <w:t xml:space="preserve">The legacy capture supplied in finding 6 defines the expected output for group 261314 exactly — four named revenue officers beneath the group totals row. Any remediation should be validated against this list before it goes back to the client.</w:t>
      </w:r>
    </w:p>
    <w:p>
      <w:pPr>
        <w:pBdr>
          <w:left w:val="single" w:color="C00000" w:sz="18" w:space="10"/>
        </w:pBdr>
        <w:spacing w:after="160" w:before="140" w:line="276"/>
        <w:ind w:left="200"/>
      </w:pPr>
      <w:r>
        <w:rPr>
          <w:b/>
          <w:bCs/>
          <w:color w:val="C00000"/>
          <w:sz w:val="20"/>
          <w:szCs w:val="20"/>
        </w:rPr>
        <w:t xml:space="preserve">Proceed carefully here.  </w:t>
      </w:r>
      <w:r>
        <w:rPr>
          <w:sz w:val="20"/>
          <w:szCs w:val="20"/>
        </w:rPr>
        <w:t xml:space="preserve">In April 2026 a stricter filter was applied to the group tile query and had to be reverted because it removed legitimate groups. Validate any new predicate against a known-good group and a known-bad group before applying it broadly. Do not tighten the officer query and the group query in the same change.</w:t>
      </w:r>
    </w:p>
    <w:p>
      <w:pPr>
        <w:spacing w:after="200"/>
      </w:pPr>
      <w:r>
        <w:t xml:space="preserve"/>
      </w:r>
    </w:p>
    <w:p>
      <w:pPr>
        <w:pStyle w:val="Heading2"/>
        <w:spacing w:after="110" w:before="260"/>
      </w:pPr>
      <w:r>
        <w:rPr>
          <w:b/>
          <w:bCs/>
          <w:color w:val="2E5496"/>
          <w:sz w:val="24"/>
          <w:szCs w:val="24"/>
        </w:rPr>
        <w:t xml:space="preserve">RC-4  Menu and permissions are not rebuilt on context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Findings</w:t>
            </w:r>
          </w:p>
        </w:tc>
        <w:tc>
          <w:tcPr>
            <w:tcW w:type="dxa" w:w="7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S2-9</w:t>
            </w:r>
          </w:p>
        </w:tc>
      </w:tr>
      <w:tr>
        <w:tc>
          <w:tcPr>
            <w:tcW w:type="dxa" w:w="18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bCs/>
                <w:sz w:val="18"/>
                <w:szCs w:val="18"/>
              </w:rPr>
              <w:t xml:space="preserve">Severity</w:t>
            </w:r>
          </w:p>
        </w:tc>
        <w:tc>
          <w:tcPr>
            <w:tcW w:type="dxa" w:w="7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High</w:t>
            </w:r>
          </w:p>
        </w:tc>
      </w:tr>
      <w:t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Confidence</w:t>
            </w:r>
          </w:p>
        </w:tc>
        <w:tc>
          <w:tcPr>
            <w:tcW w:type="dxa" w:w="7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Medium — confirm client cache is not responsible</w:t>
            </w:r>
          </w:p>
        </w:tc>
      </w:tr>
    </w:tbl>
    <w:p>
      <w:pPr>
        <w:spacing w:after="100"/>
      </w:pPr>
      <w:r>
        <w:t xml:space="preserve"/>
      </w:r>
    </w:p>
    <w:p>
      <w:pPr>
        <w:pStyle w:val="Heading3"/>
        <w:spacing w:after="90" w:before="200"/>
      </w:pPr>
      <w:r>
        <w:rPr>
          <w:b/>
          <w:bCs/>
          <w:color w:val="333333"/>
          <w:sz w:val="21"/>
          <w:szCs w:val="21"/>
        </w:rPr>
        <w:t xml:space="preserve">Evidence</w:t>
      </w:r>
    </w:p>
    <w:p>
      <w:pPr>
        <w:spacing w:after="120" w:line="276"/>
      </w:pPr>
      <w:r>
        <w:rPr>
          <w:b w:val="false"/>
          <w:bCs w:val="false"/>
          <w:i w:val="false"/>
          <w:iCs w:val="false"/>
          <w:sz w:val="20"/>
          <w:szCs w:val="20"/>
        </w:rPr>
        <w:t xml:space="preserve">After resetting from Group back to National, Case Assignment remains displayed and Utilities is missing. Case Assignment is restricted to ELEVEL 6 and 7; Utilities is a staff entitlement. Neither is correct for the post-reset state.</w:t>
      </w:r>
    </w:p>
    <w:p>
      <w:pPr>
        <w:pStyle w:val="Heading3"/>
        <w:spacing w:after="90" w:before="200"/>
      </w:pPr>
      <w:r>
        <w:rPr>
          <w:b/>
          <w:bCs/>
          <w:color w:val="333333"/>
          <w:sz w:val="21"/>
          <w:szCs w:val="21"/>
        </w:rPr>
        <w:t xml:space="preserve">Assessment</w:t>
      </w:r>
    </w:p>
    <w:p>
      <w:pPr>
        <w:spacing w:after="120" w:line="276"/>
      </w:pPr>
      <w:r>
        <w:rPr>
          <w:sz w:val="20"/>
          <w:szCs w:val="20"/>
        </w:rPr>
        <w:t xml:space="preserve">The header in the same capture reads </w:t>
      </w:r>
      <w:r>
        <w:rPr>
          <w:rFonts w:ascii="Consolas" w:cs="Consolas" w:eastAsia="Consolas" w:hAnsi="Consolas"/>
          <w:sz w:val="20"/>
          <w:szCs w:val="20"/>
        </w:rPr>
        <w:t xml:space="preserve">Viewing as: 85906270</w:t>
      </w:r>
      <w:r>
        <w:rPr>
          <w:sz w:val="20"/>
          <w:szCs w:val="20"/>
        </w:rPr>
        <w:t xml:space="preserve"> — the access context did reset correctly. Only the menu did not. The menu is therefore being computed once and retained, rather than derived from the current effective context on each change. Candidate locations are the menu permission service, the reset path, and stale client-side state.</w:t>
      </w:r>
    </w:p>
    <w:p>
      <w:pPr>
        <w:pBdr>
          <w:left w:val="single" w:color="C00000" w:sz="18" w:space="10"/>
        </w:pBdr>
        <w:spacing w:after="160" w:before="140" w:line="276"/>
        <w:ind w:left="200"/>
      </w:pPr>
      <w:r>
        <w:rPr>
          <w:b/>
          <w:bCs/>
          <w:color w:val="C00000"/>
          <w:sz w:val="20"/>
          <w:szCs w:val="20"/>
        </w:rPr>
        <w:t xml:space="preserve">Check this before writing code.  </w:t>
      </w:r>
      <w:r>
        <w:rPr>
          <w:sz w:val="20"/>
          <w:szCs w:val="20"/>
        </w:rPr>
        <w:t xml:space="preserve">Cache-control headers were added to the Change Access endpoints in March 2026 specifically because stale client responses were producing false defect reports on this feature. Reproduce this finding after a hard refresh with browser cache cleared. If it does not reproduce, the defect is client-side state retention and the fix is different.</w:t>
      </w:r>
    </w:p>
    <w:p>
      <w:pPr>
        <w:pStyle w:val="Heading3"/>
        <w:spacing w:after="90" w:before="200"/>
      </w:pPr>
      <w:r>
        <w:rPr>
          <w:b/>
          <w:bCs/>
          <w:color w:val="333333"/>
          <w:sz w:val="21"/>
          <w:szCs w:val="21"/>
        </w:rPr>
        <w:t xml:space="preserve">Required behaviour</w:t>
      </w:r>
    </w:p>
    <w:p>
      <w:pPr>
        <w:spacing w:after="120" w:line="276"/>
      </w:pPr>
      <w:r>
        <w:rPr>
          <w:b w:val="false"/>
          <w:bCs w:val="false"/>
          <w:i w:val="false"/>
          <w:iCs w:val="false"/>
          <w:sz w:val="20"/>
          <w:szCs w:val="20"/>
        </w:rPr>
        <w:t xml:space="preserve">Menu and permission derivation should be a pure function of the current effective context, recomputed on every context change and on reset, with any persisted client-side context cleared as part of the reset.</w:t>
      </w:r>
    </w:p>
    <w:p>
      <w:pPr>
        <w:spacing w:after="220"/>
      </w:pPr>
      <w:r>
        <w:t xml:space="preserve"/>
      </w:r>
    </w:p>
    <w:p>
      <w:pPr>
        <w:pStyle w:val="Heading2"/>
        <w:spacing w:after="110" w:before="260"/>
      </w:pPr>
      <w:r>
        <w:rPr>
          <w:b/>
          <w:bCs/>
          <w:color w:val="2E5496"/>
          <w:sz w:val="24"/>
          <w:szCs w:val="24"/>
        </w:rPr>
        <w:t xml:space="preserve">RC-5  "Viewing As" value and name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Findings</w:t>
            </w:r>
          </w:p>
        </w:tc>
        <w:tc>
          <w:tcPr>
            <w:tcW w:type="dxa" w:w="7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S2-4, B4</w:t>
            </w:r>
          </w:p>
        </w:tc>
      </w:tr>
      <w:tr>
        <w:tc>
          <w:tcPr>
            <w:tcW w:type="dxa" w:w="18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bCs/>
                <w:sz w:val="18"/>
                <w:szCs w:val="18"/>
              </w:rPr>
              <w:t xml:space="preserve">Severity</w:t>
            </w:r>
          </w:p>
        </w:tc>
        <w:tc>
          <w:tcPr>
            <w:tcW w:type="dxa" w:w="7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High — visible on every screen, undermines confidence in the whole feature</w:t>
            </w:r>
          </w:p>
        </w:tc>
      </w:tr>
      <w:t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Confidence</w:t>
            </w:r>
          </w:p>
        </w:tc>
        <w:tc>
          <w:tcPr>
            <w:tcW w:type="dxa" w:w="7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High</w:t>
            </w:r>
          </w:p>
        </w:tc>
      </w:tr>
    </w:tbl>
    <w:p>
      <w:pPr>
        <w:spacing w:after="100"/>
      </w:pPr>
      <w:r>
        <w:t xml:space="preserve"/>
      </w:r>
    </w:p>
    <w:p>
      <w:pPr>
        <w:spacing w:after="120" w:line="276"/>
      </w:pPr>
      <w:r>
        <w:rPr>
          <w:b w:val="false"/>
          <w:bCs w:val="false"/>
          <w:i w:val="false"/>
          <w:iCs w:val="false"/>
          <w:sz w:val="20"/>
          <w:szCs w:val="20"/>
        </w:rPr>
        <w:t xml:space="preserve">Two independent defects are being reported as one.</w:t>
      </w:r>
    </w:p>
    <w:p>
      <w:pPr>
        <w:pStyle w:val="Heading3"/>
        <w:spacing w:after="90" w:before="200"/>
      </w:pPr>
      <w:r>
        <w:rPr>
          <w:b/>
          <w:bCs/>
          <w:color w:val="333333"/>
          <w:sz w:val="21"/>
          <w:szCs w:val="21"/>
        </w:rPr>
        <w:t xml:space="preserve">(a)  The value is a truncated internal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Context</w:t>
            </w:r>
          </w:p>
        </w:tc>
        <w:tc>
          <w:tcPr>
            <w:tcW w:type="dxa" w:w="22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Displayed</w:t>
            </w:r>
          </w:p>
        </w:tc>
        <w:tc>
          <w:tcPr>
            <w:tcW w:type="dxa" w:w="45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Interpretation</w:t>
            </w:r>
          </w:p>
        </w:tc>
      </w:tr>
      <w:t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National</w:t>
            </w:r>
          </w:p>
        </w:tc>
        <w:tc>
          <w:tcPr>
            <w:tcW w:type="dxa" w:w="2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8590</w:t>
            </w:r>
          </w:p>
        </w:tc>
        <w:tc>
          <w:tcPr>
            <w:tcW w:type="dxa" w:w="4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No National branch exists — falls through and slices four characters from the raw assignment number 85906270</w:t>
            </w:r>
          </w:p>
        </w:tc>
      </w:tr>
      <w:tr>
        <w:tc>
          <w:tcPr>
            <w:tcW w:type="dxa" w:w="26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Area 25</w:t>
            </w:r>
          </w:p>
        </w:tc>
        <w:tc>
          <w:tcPr>
            <w:tcW w:type="dxa" w:w="22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25</w:t>
            </w:r>
          </w:p>
        </w:tc>
        <w:tc>
          <w:tcPr>
            <w:tcW w:type="dxa" w:w="4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Hierarchy code at Area prefix length</w:t>
            </w:r>
          </w:p>
        </w:tc>
      </w:tr>
      <w:tr>
        <w:tc>
          <w:tcPr>
            <w:tcW w:type="dxa" w:w="26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Territory 2501</w:t>
            </w:r>
          </w:p>
        </w:tc>
        <w:tc>
          <w:tcPr>
            <w:tcW w:type="dxa" w:w="2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2501</w:t>
            </w:r>
          </w:p>
        </w:tc>
        <w:tc>
          <w:tcPr>
            <w:tcW w:type="dxa" w:w="4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Hierarchy code at Territory prefix length</w:t>
            </w:r>
          </w:p>
        </w:tc>
      </w:tr>
    </w:tbl>
    <w:p>
      <w:pPr>
        <w:spacing w:after="120"/>
      </w:pPr>
      <w:r>
        <w:t xml:space="preserve"/>
      </w:r>
    </w:p>
    <w:p>
      <w:pPr>
        <w:spacing w:after="120" w:line="276"/>
      </w:pPr>
      <w:r>
        <w:rPr>
          <w:b w:val="false"/>
          <w:bCs w:val="false"/>
          <w:i w:val="false"/>
          <w:iCs w:val="false"/>
          <w:sz w:val="20"/>
          <w:szCs w:val="20"/>
        </w:rPr>
        <w:t xml:space="preserve">The header is emitting the hierarchy code at the prefix length for the current level. At National there is no hierarchy code, so the logic falls through to the raw assignment number. The client is asking for a human-readable statement of where the user is operating, not an internal code.</w:t>
      </w:r>
    </w:p>
    <w:p>
      <w:pPr>
        <w:pStyle w:val="Heading3"/>
        <w:spacing w:after="90" w:before="200"/>
      </w:pPr>
      <w:r>
        <w:rPr>
          <w:b/>
          <w:bCs/>
          <w:color w:val="333333"/>
          <w:sz w:val="21"/>
          <w:szCs w:val="21"/>
        </w:rPr>
        <w:t xml:space="preserve">(b)  The name resolves to the wrong record</w:t>
      </w:r>
    </w:p>
    <w:p>
      <w:pPr>
        <w:spacing w:after="120" w:line="276"/>
      </w:pPr>
      <w:r>
        <w:rPr>
          <w:sz w:val="20"/>
          <w:szCs w:val="20"/>
        </w:rPr>
        <w:t xml:space="preserve">Brian's screenshot shows officer tile </w:t>
      </w:r>
      <w:r>
        <w:rPr>
          <w:rFonts w:ascii="Consolas" w:cs="Consolas" w:eastAsia="Consolas" w:hAnsi="Consolas"/>
          <w:sz w:val="20"/>
          <w:szCs w:val="20"/>
        </w:rPr>
        <w:t xml:space="preserve">23091708 A. THORPE</w:t>
      </w:r>
      <w:r>
        <w:rPr>
          <w:sz w:val="20"/>
          <w:szCs w:val="20"/>
        </w:rPr>
        <w:t xml:space="preserve"> and, for the same assignment number, header text </w:t>
      </w:r>
      <w:r>
        <w:rPr>
          <w:rFonts w:ascii="Consolas" w:cs="Consolas" w:eastAsia="Consolas" w:hAnsi="Consolas"/>
          <w:sz w:val="20"/>
          <w:szCs w:val="20"/>
        </w:rPr>
        <w:t xml:space="preserve">Viewing as: M. MILLER (23091708)</w:t>
      </w:r>
      <w:r>
        <w:rPr>
          <w:sz w:val="20"/>
          <w:szCs w:val="20"/>
        </w:rPr>
        <w:t xml:space="preserve">. For an assignment number with multiple historical records, the name lookup is returning the wrong one — most likely a first-match retrieval with no ordering and no active-record predicate. Brian reports it consistently returns the oldest disbanded occupant.</w:t>
      </w:r>
    </w:p>
    <w:p>
      <w:pPr>
        <w:pStyle w:val="Heading3"/>
        <w:spacing w:after="90" w:before="200"/>
      </w:pPr>
      <w:r>
        <w:rPr>
          <w:b/>
          <w:bCs/>
          <w:color w:val="333333"/>
          <w:sz w:val="21"/>
          <w:szCs w:val="21"/>
        </w:rPr>
        <w:t xml:space="preserve">Approved target format</w:t>
      </w:r>
    </w:p>
    <w:p>
      <w:pPr>
        <w:spacing w:after="120" w:line="276"/>
      </w:pPr>
      <w:r>
        <w:rPr>
          <w:b w:val="false"/>
          <w:bCs w:val="false"/>
          <w:i w:val="false"/>
          <w:iCs w:val="false"/>
          <w:sz w:val="20"/>
          <w:szCs w:val="20"/>
        </w:rPr>
        <w:t xml:space="preserve">The mockup S3 shows the following, which should be treated as the specification:</w:t>
      </w:r>
    </w:p>
    <w:p>
      <w:pPr>
        <w:shd w:fill="F4F4F4" w:val="clear"/>
        <w:spacing w:after="60" w:before="60"/>
        <w:ind w:left="280"/>
      </w:pPr>
      <w:r>
        <w:rPr>
          <w:rFonts w:ascii="Consolas" w:cs="Consolas" w:eastAsia="Consolas" w:hAnsi="Consolas"/>
          <w:sz w:val="17"/>
          <w:szCs w:val="17"/>
        </w:rPr>
        <w:t xml:space="preserve">Vainer, Svetlana  |  2507-2307: Manager</w:t>
      </w:r>
    </w:p>
    <w:p>
      <w:pPr>
        <w:spacing w:after="120" w:line="276"/>
      </w:pPr>
      <w:r>
        <w:rPr>
          <w:b w:val="false"/>
          <w:bCs w:val="false"/>
          <w:i w:val="false"/>
          <w:iCs w:val="false"/>
          <w:sz w:val="20"/>
          <w:szCs w:val="20"/>
        </w:rPr>
        <w:t xml:space="preserve">That is a hyphenated assignment number in AATT-GGRR form, followed by the role title. Sarah's separate observation that two assignment-number values currently appear at the top of the application is consistent with this — the mockup shows one.</w:t>
      </w:r>
    </w:p>
    <w:p>
      <w:pPr>
        <w:pStyle w:val="Heading3"/>
        <w:spacing w:after="90" w:before="200"/>
      </w:pPr>
      <w:r>
        <w:rPr>
          <w:b/>
          <w:bCs/>
          <w:color w:val="333333"/>
          <w:sz w:val="21"/>
          <w:szCs w:val="21"/>
        </w:rPr>
        <w:t xml:space="preserve">Proposed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Context</w:t>
            </w:r>
          </w:p>
        </w:tc>
        <w:tc>
          <w:tcPr>
            <w:tcW w:type="dxa" w:w="69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Header should read</w:t>
            </w:r>
          </w:p>
        </w:tc>
      </w:tr>
      <w:t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National</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Viewing as: National</w:t>
            </w:r>
          </w:p>
        </w:tc>
      </w:tr>
      <w:tr>
        <w:tc>
          <w:tcPr>
            <w:tcW w:type="dxa" w:w="2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Area</w:t>
            </w:r>
          </w:p>
        </w:tc>
        <w:tc>
          <w:tcPr>
            <w:tcW w:type="dxa" w:w="69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Viewing as: Area 25</w:t>
            </w:r>
          </w:p>
        </w:tc>
      </w:tr>
      <w:t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Territory</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Viewing as: Territory 2501</w:t>
            </w:r>
          </w:p>
        </w:tc>
      </w:tr>
      <w:tr>
        <w:tc>
          <w:tcPr>
            <w:tcW w:type="dxa" w:w="2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Group</w:t>
            </w:r>
          </w:p>
        </w:tc>
        <w:tc>
          <w:tcPr>
            <w:tcW w:type="dxa" w:w="69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Viewing as: Group 251435</w:t>
            </w:r>
          </w:p>
        </w:tc>
      </w:tr>
      <w:t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Officer</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Viewing as: M. Miller (23091708)</w:t>
            </w:r>
          </w:p>
        </w:tc>
      </w:tr>
    </w:tbl>
    <w:p>
      <w:pPr>
        <w:pBdr>
          <w:left w:val="single" w:color="2E5496" w:sz="18" w:space="10"/>
        </w:pBdr>
        <w:spacing w:after="160" w:before="140" w:line="276"/>
        <w:ind w:left="200"/>
      </w:pPr>
      <w:r>
        <w:rPr>
          <w:b/>
          <w:bCs/>
          <w:color w:val="2E5496"/>
          <w:sz w:val="20"/>
          <w:szCs w:val="20"/>
        </w:rPr>
        <w:t xml:space="preserve">Confirm before building.  </w:t>
      </w:r>
      <w:r>
        <w:rPr>
          <w:sz w:val="20"/>
          <w:szCs w:val="20"/>
        </w:rPr>
        <w:t xml:space="preserve">The label wording above is development's proposal, extrapolated from the mockup and from Sarah's stated expectation of "Viewing as: National". Only the National case is explicitly evidenced. Have the client confirm the full set.</w:t>
      </w:r>
    </w:p>
    <w:p>
      <w:pPr>
        <w:spacing w:after="220"/>
      </w:pPr>
      <w:r>
        <w:t xml:space="preserve"/>
      </w:r>
    </w:p>
    <w:p>
      <w:pPr>
        <w:pStyle w:val="Heading2"/>
        <w:spacing w:after="110" w:before="260"/>
      </w:pPr>
      <w:r>
        <w:rPr>
          <w:b/>
          <w:bCs/>
          <w:color w:val="2E5496"/>
          <w:sz w:val="24"/>
          <w:szCs w:val="24"/>
        </w:rPr>
        <w:t xml:space="preserve">RC-6  Change Role permits organization, level and assignment to be set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Findings</w:t>
            </w:r>
          </w:p>
        </w:tc>
        <w:tc>
          <w:tcPr>
            <w:tcW w:type="dxa" w:w="7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S2-1, S2-8; Brian B1 and B2</w:t>
            </w:r>
          </w:p>
        </w:tc>
      </w:tr>
      <w:tr>
        <w:tc>
          <w:tcPr>
            <w:tcW w:type="dxa" w:w="18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bCs/>
                <w:sz w:val="18"/>
                <w:szCs w:val="18"/>
              </w:rPr>
              <w:t xml:space="preserve">Severity</w:t>
            </w:r>
          </w:p>
        </w:tc>
        <w:tc>
          <w:tcPr>
            <w:tcW w:type="dxa" w:w="7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High</w:t>
            </w:r>
          </w:p>
        </w:tc>
      </w:tr>
      <w:t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Confidence</w:t>
            </w:r>
          </w:p>
        </w:tc>
        <w:tc>
          <w:tcPr>
            <w:tcW w:type="dxa" w:w="7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High for the mechanism; the remedy is a specification change</w:t>
            </w:r>
          </w:p>
        </w:tc>
      </w:tr>
    </w:tbl>
    <w:p>
      <w:pPr>
        <w:spacing w:after="100"/>
      </w:pPr>
      <w:r>
        <w:t xml:space="preserve"/>
      </w:r>
    </w:p>
    <w:p>
      <w:pPr>
        <w:pStyle w:val="Heading3"/>
        <w:spacing w:after="90" w:before="200"/>
      </w:pPr>
      <w:r>
        <w:rPr>
          <w:b/>
          <w:bCs/>
          <w:color w:val="333333"/>
          <w:sz w:val="21"/>
          <w:szCs w:val="21"/>
        </w:rPr>
        <w:t xml:space="preserve">Evidence</w:t>
      </w:r>
    </w:p>
    <w:p>
      <w:pPr>
        <w:spacing w:after="120" w:line="276"/>
      </w:pPr>
      <w:r>
        <w:rPr>
          <w:b w:val="false"/>
          <w:bCs w:val="false"/>
          <w:i w:val="false"/>
          <w:iCs w:val="false"/>
          <w:sz w:val="20"/>
          <w:szCs w:val="20"/>
        </w:rPr>
        <w:t xml:space="preserve">Sarah's modal capture shows Territory selected and 2501 typed into Enter Level while Select Assignment remains unset. A level can therefore be committed with no corresponding assignment number, producing a half-built access context. Finding 8 shows the counterpart: an Org change to AD that leaves a CF assignment number in place.</w:t>
      </w:r>
    </w:p>
    <w:p>
      <w:pPr>
        <w:pStyle w:val="Heading3"/>
        <w:spacing w:after="90" w:before="200"/>
      </w:pPr>
      <w:r>
        <w:rPr>
          <w:b/>
          <w:bCs/>
          <w:color w:val="333333"/>
          <w:sz w:val="21"/>
          <w:szCs w:val="21"/>
        </w:rPr>
        <w:t xml:space="preserve">Assessment</w:t>
      </w:r>
    </w:p>
    <w:p>
      <w:pPr>
        <w:spacing w:after="120" w:line="276"/>
      </w:pPr>
      <w:r>
        <w:rPr>
          <w:b w:val="false"/>
          <w:bCs w:val="false"/>
          <w:i w:val="false"/>
          <w:iCs w:val="false"/>
          <w:sz w:val="20"/>
          <w:szCs w:val="20"/>
        </w:rPr>
        <w:t xml:space="preserve">The four controls are independent inputs rather than a dependent chain. Nothing forces the selected level to be consistent with the selected assignment number, and nothing revalidates the assignment number when the organization changes. Brian's redesign eliminates the class of problem by removing the independent level inputs entirely and deriving ELEVEL from the selected assignment's record.</w:t>
      </w:r>
    </w:p>
    <w:p>
      <w:pPr>
        <w:pStyle w:val="Heading3"/>
        <w:spacing w:after="90" w:before="200"/>
      </w:pPr>
      <w:r>
        <w:rPr>
          <w:b/>
          <w:bCs/>
          <w:color w:val="333333"/>
          <w:sz w:val="21"/>
          <w:szCs w:val="21"/>
        </w:rPr>
        <w:t xml:space="preserve">Target state (per B1 and B2)</w:t>
      </w:r>
    </w:p>
    <w:p>
      <w:pPr>
        <w:pStyle w:val="ListParagraph"/>
        <w:numPr>
          <w:ilvl w:val="0"/>
          <w:numId w:val="2"/>
        </w:numPr>
        <w:spacing w:after="70" w:line="276"/>
      </w:pPr>
      <w:r>
        <w:rPr>
          <w:sz w:val="20"/>
          <w:szCs w:val="20"/>
        </w:rPr>
        <w:t xml:space="preserve">Two controls only: Select Org, then Select Assignment Number.</w:t>
      </w:r>
    </w:p>
    <w:p>
      <w:pPr>
        <w:pStyle w:val="ListParagraph"/>
        <w:numPr>
          <w:ilvl w:val="0"/>
          <w:numId w:val="2"/>
        </w:numPr>
        <w:spacing w:after="70" w:line="276"/>
      </w:pPr>
      <w:r>
        <w:rPr>
          <w:sz w:val="20"/>
          <w:szCs w:val="20"/>
        </w:rPr>
        <w:t xml:space="preserve">Org is presented first and drives the assignment list.</w:t>
      </w:r>
    </w:p>
    <w:p>
      <w:pPr>
        <w:pStyle w:val="ListParagraph"/>
        <w:numPr>
          <w:ilvl w:val="0"/>
          <w:numId w:val="2"/>
        </w:numPr>
        <w:spacing w:after="70" w:line="276"/>
      </w:pPr>
      <w:r>
        <w:rPr>
          <w:sz w:val="20"/>
          <w:szCs w:val="20"/>
        </w:rPr>
        <w:t xml:space="preserve">Org control is hidden entirely when the user holds assignments in only one Org.</w:t>
      </w:r>
    </w:p>
    <w:p>
      <w:pPr>
        <w:pStyle w:val="ListParagraph"/>
        <w:numPr>
          <w:ilvl w:val="0"/>
          <w:numId w:val="2"/>
        </w:numPr>
        <w:spacing w:after="70" w:line="276"/>
      </w:pPr>
      <w:r>
        <w:rPr>
          <w:sz w:val="20"/>
          <w:szCs w:val="20"/>
        </w:rPr>
        <w:t xml:space="preserve">Changing Org clears and revalidates the assignment selection; an assignment from the prior Org must not survive unless it is independently valid in the new one.</w:t>
      </w:r>
    </w:p>
    <w:p>
      <w:pPr>
        <w:pStyle w:val="ListParagraph"/>
        <w:numPr>
          <w:ilvl w:val="0"/>
          <w:numId w:val="2"/>
        </w:numPr>
        <w:spacing w:after="70" w:line="276"/>
      </w:pPr>
      <w:r>
        <w:rPr>
          <w:sz w:val="20"/>
          <w:szCs w:val="20"/>
        </w:rPr>
        <w:t xml:space="preserve">National assignment number persists across an Org change for National users.</w:t>
      </w:r>
    </w:p>
    <w:p>
      <w:pPr>
        <w:pStyle w:val="ListParagraph"/>
        <w:numPr>
          <w:ilvl w:val="0"/>
          <w:numId w:val="2"/>
        </w:numPr>
        <w:spacing w:after="70" w:line="276"/>
      </w:pPr>
      <w:r>
        <w:rPr>
          <w:sz w:val="20"/>
          <w:szCs w:val="20"/>
        </w:rPr>
        <w:t xml:space="preserve">ELEVEL is derived from the selected assignment's record and is never typed.</w:t>
      </w:r>
    </w:p>
    <w:p>
      <w:pPr>
        <w:pBdr>
          <w:left w:val="single" w:color="C00000" w:sz="18" w:space="10"/>
        </w:pBdr>
        <w:spacing w:after="160" w:before="140" w:line="276"/>
        <w:ind w:left="200"/>
      </w:pPr>
      <w:r>
        <w:rPr>
          <w:b/>
          <w:bCs/>
          <w:color w:val="C00000"/>
          <w:sz w:val="20"/>
          <w:szCs w:val="20"/>
        </w:rPr>
        <w:t xml:space="preserve">Blocked.  </w:t>
      </w:r>
      <w:r>
        <w:rPr>
          <w:sz w:val="20"/>
          <w:szCs w:val="20"/>
        </w:rPr>
        <w:t xml:space="preserve">Do not begin this work until Decisions D1 and D2 are resolved. D1 is a direct contradiction between Brian's instruction and Sarah's Acting Group Manager requirement. D2 determines which users are affected, and the two candidate definitions do not select the same population.</w:t>
      </w:r>
    </w:p>
    <w:p>
      <w:pPr>
        <w:spacing w:after="200"/>
      </w:pPr>
      <w:r>
        <w:t xml:space="preserve"/>
      </w:r>
    </w:p>
    <w:p>
      <w:pPr>
        <w:pStyle w:val="Heading2"/>
        <w:spacing w:after="110" w:before="260"/>
      </w:pPr>
      <w:r>
        <w:rPr>
          <w:b/>
          <w:bCs/>
          <w:color w:val="2E5496"/>
          <w:sz w:val="24"/>
          <w:szCs w:val="24"/>
        </w:rPr>
        <w:t xml:space="preserve">RC-7  Presentation, ordering and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Findings</w:t>
            </w:r>
          </w:p>
        </w:tc>
        <w:tc>
          <w:tcPr>
            <w:tcW w:type="dxa" w:w="7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S2-7, S2-2 (partial), dark mode observation</w:t>
            </w:r>
          </w:p>
        </w:tc>
      </w:tr>
      <w:tr>
        <w:tc>
          <w:tcPr>
            <w:tcW w:type="dxa" w:w="18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bCs/>
                <w:sz w:val="18"/>
                <w:szCs w:val="18"/>
              </w:rPr>
              <w:t xml:space="preserve">Severity</w:t>
            </w:r>
          </w:p>
        </w:tc>
        <w:tc>
          <w:tcPr>
            <w:tcW w:type="dxa" w:w="7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Medium</w:t>
            </w:r>
          </w:p>
        </w:tc>
      </w:tr>
      <w:tr>
        <w:tc>
          <w:tcPr>
            <w:tcW w:type="dxa" w:w="1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bCs/>
                <w:sz w:val="18"/>
                <w:szCs w:val="18"/>
              </w:rPr>
              <w:t xml:space="preserve">Confidence</w:t>
            </w:r>
          </w:p>
        </w:tc>
        <w:tc>
          <w:tcPr>
            <w:tcW w:type="dxa" w:w="7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High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Item</w:t>
            </w:r>
          </w:p>
        </w:tc>
        <w:tc>
          <w:tcPr>
            <w:tcW w:type="dxa" w:w="69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Detail</w:t>
            </w:r>
          </w:p>
        </w:tc>
      </w:tr>
      <w:t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Ordering</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Officer and assignment lists are currently ordered alphabetically by employee name. Required: numerical, in organizational order by assignment number.</w:t>
            </w:r>
          </w:p>
        </w:tc>
      </w:tr>
      <w:tr>
        <w:tc>
          <w:tcPr>
            <w:tcW w:type="dxa" w:w="2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Tile formatting</w:t>
            </w:r>
          </w:p>
        </w:tc>
        <w:tc>
          <w:tcPr>
            <w:tcW w:type="dxa" w:w="69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Some tiles occupy one line and others wrap to two, making the grid hard to scan. Required: standardized tile presentation with assignment number, name and role/title visually aligned.</w:t>
            </w:r>
          </w:p>
        </w:tc>
      </w:tr>
      <w:t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Dark mode — header</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User name in the application header has insufficient contrast and appears greyed out.</w:t>
            </w:r>
          </w:p>
        </w:tc>
      </w:tr>
      <w:tr>
        <w:tc>
          <w:tcPr>
            <w:tcW w:type="dxa" w:w="2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Dark mode — modal</w:t>
            </w:r>
          </w:p>
        </w:tc>
        <w:tc>
          <w:tcPr>
            <w:tcW w:type="dxa" w:w="69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The Current Role line in the Change Role modal is effectively illegible in Sarah's captures.</w:t>
            </w:r>
          </w:p>
        </w:tc>
      </w:tr>
      <w:t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Missing control label</w:t>
            </w:r>
          </w:p>
        </w:tc>
        <w:tc>
          <w:tcPr>
            <w:tcW w:type="dxa" w:w="69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The "Keep Selection as Default" label renders in Brian's capture but not in Sarah's, where only a bare checkbox appears. Determine whether this is a contrast failure or a genuinely absent label before fixing — the two have different causes.</w:t>
            </w:r>
          </w:p>
        </w:tc>
      </w:tr>
    </w:tbl>
    <w:p>
      <w:r>
        <w:br w:type="page"/>
      </w:r>
    </w:p>
    <w:p>
      <w:pPr>
        <w:pStyle w:val="Heading1"/>
        <w:pBdr>
          <w:bottom w:val="single" w:color="1F3864" w:sz="6" w:space="4"/>
        </w:pBdr>
        <w:spacing w:after="160" w:before="360"/>
      </w:pPr>
      <w:r>
        <w:rPr>
          <w:b/>
          <w:bCs/>
          <w:color w:val="1F3864"/>
          <w:sz w:val="30"/>
          <w:szCs w:val="30"/>
        </w:rPr>
        <w:t xml:space="preserve">7.  Remediation Plan</w:t>
      </w:r>
    </w:p>
    <w:p>
      <w:pPr>
        <w:spacing w:after="120" w:line="276"/>
      </w:pPr>
      <w:r>
        <w:rPr>
          <w:b w:val="false"/>
          <w:bCs w:val="false"/>
          <w:i w:val="false"/>
          <w:iCs w:val="false"/>
          <w:sz w:val="20"/>
          <w:szCs w:val="20"/>
        </w:rPr>
        <w:t xml:space="preserve">Work is grouped by root cause rather than by client finding, because several findings share a fix. The Blocked column identifies items that must not start until a decision or a diagnostic result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300"/>
        <w:gridCol w:w="1600"/>
        <w:gridCol w:w="156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Ref</w:t>
            </w:r>
          </w:p>
        </w:tc>
        <w:tc>
          <w:tcPr>
            <w:tcW w:type="dxa" w:w="30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Work item</w:t>
            </w:r>
          </w:p>
        </w:tc>
        <w:tc>
          <w:tcPr>
            <w:tcW w:type="dxa" w:w="23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Resolves</w:t>
            </w:r>
          </w:p>
        </w:tc>
        <w:tc>
          <w:tcPr>
            <w:tcW w:type="dxa" w:w="16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Depends on</w:t>
            </w:r>
          </w:p>
        </w:tc>
        <w:tc>
          <w:tcPr>
            <w:tcW w:type="dxa" w:w="15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Blocked</w:t>
            </w:r>
          </w:p>
        </w:tc>
      </w:tr>
      <w:tr>
        <w:tc>
          <w:tcPr>
            <w:tcW w:type="dxa" w:w="9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R1</w:t>
            </w:r>
          </w:p>
        </w:tc>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Pass the active viewing context into the officer and employee lookups; fall back to base assignment only when Change Access is not in effect</w:t>
            </w:r>
          </w:p>
        </w:tc>
        <w:tc>
          <w:tcPr>
            <w:tcW w:type="dxa" w:w="23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S2-5, contributes to S2-3</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Diagnostic Q1</w:t>
            </w:r>
          </w:p>
        </w:tc>
        <w:tc>
          <w:tcPr>
            <w:tcW w:type="dxa" w:w="1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No</w:t>
            </w:r>
          </w:p>
        </w:tc>
      </w:tr>
      <w:tr>
        <w:tc>
          <w:tcPr>
            <w:tcW w:type="dxa" w:w="9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R2</w:t>
            </w:r>
          </w:p>
        </w:tc>
        <w:tc>
          <w:tcPr>
            <w:tcW w:type="dxa" w:w="3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Correct organization resolution for staff-prefix users so hierarchy filtering uses the selected Org, never the assignment prefix</w:t>
            </w:r>
          </w:p>
        </w:tc>
        <w:tc>
          <w:tcPr>
            <w:tcW w:type="dxa" w:w="23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S2-3</w:t>
            </w:r>
          </w:p>
        </w:tc>
        <w:tc>
          <w:tcPr>
            <w:tcW w:type="dxa" w:w="16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Diagnostic Q2, Decision D4</w:t>
            </w:r>
          </w:p>
        </w:tc>
        <w:tc>
          <w:tcPr>
            <w:tcW w:type="dxa" w:w="1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Yes — D4</w:t>
            </w:r>
          </w:p>
        </w:tc>
      </w:tr>
      <w:tr>
        <w:tc>
          <w:tcPr>
            <w:tcW w:type="dxa" w:w="9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R3</w:t>
            </w:r>
          </w:p>
        </w:tc>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Apply a consistent active-record predicate to officer and assignment lists: exclude blocked/vacant, exclude structural placeholders, collapse to one row per employee</w:t>
            </w:r>
          </w:p>
        </w:tc>
        <w:tc>
          <w:tcPr>
            <w:tcW w:type="dxa" w:w="23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S2-5, S2-6, B3</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Diagnostic Q3</w:t>
            </w:r>
          </w:p>
        </w:tc>
        <w:tc>
          <w:tcPr>
            <w:tcW w:type="dxa" w:w="1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No</w:t>
            </w:r>
          </w:p>
        </w:tc>
      </w:tr>
      <w:tr>
        <w:tc>
          <w:tcPr>
            <w:tcW w:type="dxa" w:w="9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R4</w:t>
            </w:r>
          </w:p>
        </w:tc>
        <w:tc>
          <w:tcPr>
            <w:tcW w:type="dxa" w:w="3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Recompute menu and permissions on every context change and reset; clear persisted client context on reset</w:t>
            </w:r>
          </w:p>
        </w:tc>
        <w:tc>
          <w:tcPr>
            <w:tcW w:type="dxa" w:w="23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S2-9</w:t>
            </w:r>
          </w:p>
        </w:tc>
        <w:tc>
          <w:tcPr>
            <w:tcW w:type="dxa" w:w="16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Diagnostic Q4</w:t>
            </w:r>
          </w:p>
        </w:tc>
        <w:tc>
          <w:tcPr>
            <w:tcW w:type="dxa" w:w="1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Yes — Q4 first</w:t>
            </w:r>
          </w:p>
        </w:tc>
      </w:tr>
      <w:tr>
        <w:tc>
          <w:tcPr>
            <w:tcW w:type="dxa" w:w="9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R5a</w:t>
            </w:r>
          </w:p>
        </w:tc>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Replace the "Viewing As" value with an explicit level label per Appendix A</w:t>
            </w:r>
          </w:p>
        </w:tc>
        <w:tc>
          <w:tcPr>
            <w:tcW w:type="dxa" w:w="23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S2-4</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Decision D6</w:t>
            </w:r>
          </w:p>
        </w:tc>
        <w:tc>
          <w:tcPr>
            <w:tcW w:type="dxa" w:w="1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Yes — D6</w:t>
            </w:r>
          </w:p>
        </w:tc>
      </w:tr>
      <w:tr>
        <w:tc>
          <w:tcPr>
            <w:tcW w:type="dxa" w:w="9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R5b</w:t>
            </w:r>
          </w:p>
        </w:tc>
        <w:tc>
          <w:tcPr>
            <w:tcW w:type="dxa" w:w="3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Correct name resolution to select the active record for an assignment number with multiple historical rows</w:t>
            </w:r>
          </w:p>
        </w:tc>
        <w:tc>
          <w:tcPr>
            <w:tcW w:type="dxa" w:w="23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B4</w:t>
            </w:r>
          </w:p>
        </w:tc>
        <w:tc>
          <w:tcPr>
            <w:tcW w:type="dxa" w:w="16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w:t>
            </w:r>
          </w:p>
        </w:tc>
        <w:tc>
          <w:tcPr>
            <w:tcW w:type="dxa" w:w="1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No</w:t>
            </w:r>
          </w:p>
        </w:tc>
      </w:tr>
      <w:tr>
        <w:tc>
          <w:tcPr>
            <w:tcW w:type="dxa" w:w="9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R5c</w:t>
            </w:r>
          </w:p>
        </w:tc>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Remove the duplicated assignment-number display from the header per mockup S3</w:t>
            </w:r>
          </w:p>
        </w:tc>
        <w:tc>
          <w:tcPr>
            <w:tcW w:type="dxa" w:w="23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S2-4</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Decision D6</w:t>
            </w:r>
          </w:p>
        </w:tc>
        <w:tc>
          <w:tcPr>
            <w:tcW w:type="dxa" w:w="1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Yes — D6</w:t>
            </w:r>
          </w:p>
        </w:tc>
      </w:tr>
      <w:tr>
        <w:tc>
          <w:tcPr>
            <w:tcW w:type="dxa" w:w="9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R6</w:t>
            </w:r>
          </w:p>
        </w:tc>
        <w:tc>
          <w:tcPr>
            <w:tcW w:type="dxa" w:w="3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Rebuild Change Role as a two-control dependent chain: Org, then Assignment; derive ELEVEL from the selected assignment</w:t>
            </w:r>
          </w:p>
        </w:tc>
        <w:tc>
          <w:tcPr>
            <w:tcW w:type="dxa" w:w="23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S2-1, S2-8, B1, B2</w:t>
            </w:r>
          </w:p>
        </w:tc>
        <w:tc>
          <w:tcPr>
            <w:tcW w:type="dxa" w:w="16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Decisions D1, D2</w:t>
            </w:r>
          </w:p>
        </w:tc>
        <w:tc>
          <w:tcPr>
            <w:tcW w:type="dxa" w:w="1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Yes — D1, D2</w:t>
            </w:r>
          </w:p>
        </w:tc>
      </w:tr>
      <w:tr>
        <w:tc>
          <w:tcPr>
            <w:tcW w:type="dxa" w:w="9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R7a</w:t>
            </w:r>
          </w:p>
        </w:tc>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Order officer and assignment lists numerically in organizational order</w:t>
            </w:r>
          </w:p>
        </w:tc>
        <w:tc>
          <w:tcPr>
            <w:tcW w:type="dxa" w:w="23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S2-7</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w:t>
            </w:r>
          </w:p>
        </w:tc>
        <w:tc>
          <w:tcPr>
            <w:tcW w:type="dxa" w:w="1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No</w:t>
            </w:r>
          </w:p>
        </w:tc>
      </w:tr>
      <w:tr>
        <w:tc>
          <w:tcPr>
            <w:tcW w:type="dxa" w:w="9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R7b</w:t>
            </w:r>
          </w:p>
        </w:tc>
        <w:tc>
          <w:tcPr>
            <w:tcW w:type="dxa" w:w="3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Standardize tile formatting and alignment</w:t>
            </w:r>
          </w:p>
        </w:tc>
        <w:tc>
          <w:tcPr>
            <w:tcW w:type="dxa" w:w="23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S2-7</w:t>
            </w:r>
          </w:p>
        </w:tc>
        <w:tc>
          <w:tcPr>
            <w:tcW w:type="dxa" w:w="16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w:t>
            </w:r>
          </w:p>
        </w:tc>
        <w:tc>
          <w:tcPr>
            <w:tcW w:type="dxa" w:w="1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No</w:t>
            </w:r>
          </w:p>
        </w:tc>
      </w:tr>
      <w:tr>
        <w:tc>
          <w:tcPr>
            <w:tcW w:type="dxa" w:w="9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R7c</w:t>
            </w:r>
          </w:p>
        </w:tc>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Fix dark-mode contrast in header and modal; restore the missing control label</w:t>
            </w:r>
          </w:p>
        </w:tc>
        <w:tc>
          <w:tcPr>
            <w:tcW w:type="dxa" w:w="23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Dark mode observation</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w:t>
            </w:r>
          </w:p>
        </w:tc>
        <w:tc>
          <w:tcPr>
            <w:tcW w:type="dxa" w:w="1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No</w:t>
            </w:r>
          </w:p>
        </w:tc>
      </w:tr>
      <w:tr>
        <w:tc>
          <w:tcPr>
            <w:tcW w:type="dxa" w:w="9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R8</w:t>
            </w:r>
          </w:p>
        </w:tc>
        <w:tc>
          <w:tcPr>
            <w:tcW w:type="dxa" w:w="3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Define and document "Keep Selection as Default" behaviour, then align implementation</w:t>
            </w:r>
          </w:p>
        </w:tc>
        <w:tc>
          <w:tcPr>
            <w:tcW w:type="dxa" w:w="23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S2-2</w:t>
            </w:r>
          </w:p>
        </w:tc>
        <w:tc>
          <w:tcPr>
            <w:tcW w:type="dxa" w:w="16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Decision D3</w:t>
            </w:r>
          </w:p>
        </w:tc>
        <w:tc>
          <w:tcPr>
            <w:tcW w:type="dxa" w:w="1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Yes — D3</w:t>
            </w:r>
          </w:p>
        </w:tc>
      </w:tr>
      <w:tr>
        <w:tc>
          <w:tcPr>
            <w:tcW w:type="dxa" w:w="9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R9</w:t>
            </w:r>
          </w:p>
        </w:tc>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Implement and demonstrate Acting Group Manager (ELEVEL 7) scenarios</w:t>
            </w:r>
          </w:p>
        </w:tc>
        <w:tc>
          <w:tcPr>
            <w:tcW w:type="dxa" w:w="23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Client request</w:t>
            </w:r>
          </w:p>
        </w:tc>
        <w:tc>
          <w:tcPr>
            <w:tcW w:type="dxa" w:w="16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Decision D1, R1–R7 complete</w:t>
            </w:r>
          </w:p>
        </w:tc>
        <w:tc>
          <w:tcPr>
            <w:tcW w:type="dxa" w:w="1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Yes</w:t>
            </w:r>
          </w:p>
        </w:tc>
      </w:tr>
    </w:tbl>
    <w:p>
      <w:pPr>
        <w:spacing w:after="180"/>
      </w:pPr>
      <w:r>
        <w:t xml:space="preserve"/>
      </w:r>
    </w:p>
    <w:p>
      <w:pPr>
        <w:pStyle w:val="Heading3"/>
        <w:spacing w:after="90" w:before="200"/>
      </w:pPr>
      <w:r>
        <w:rPr>
          <w:b/>
          <w:bCs/>
          <w:color w:val="333333"/>
          <w:sz w:val="21"/>
          <w:szCs w:val="21"/>
        </w:rPr>
        <w:t xml:space="preserve">Files likely in scope</w:t>
      </w:r>
    </w:p>
    <w:p>
      <w:pPr>
        <w:spacing w:after="120" w:line="276"/>
      </w:pPr>
      <w:r>
        <w:rPr>
          <w:b w:val="false"/>
          <w:bCs w:val="false"/>
          <w:i w:val="false"/>
          <w:iCs w:val="false"/>
          <w:sz w:val="20"/>
          <w:szCs w:val="20"/>
        </w:rPr>
        <w:t xml:space="preserve">Listed as starting points for investigation, not as a definitive change set. Confirm against the current codebase before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Layer</w:t>
            </w:r>
          </w:p>
        </w:tc>
        <w:tc>
          <w:tcPr>
            <w:tcW w:type="dxa" w:w="71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Components</w:t>
            </w:r>
          </w:p>
        </w:tc>
      </w:tr>
      <w:tr>
        <w:tc>
          <w:tcPr>
            <w:tcW w:type="dxa" w:w="2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Backend — services</w:t>
            </w:r>
          </w:p>
        </w:tc>
        <w:tc>
          <w:tcPr>
            <w:tcW w:type="dxa" w:w="71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Change Access service; Change Access configuration service; Change Role services (staff and non-staff); ELEVEL service; menu permission service</w:t>
            </w:r>
          </w:p>
        </w:tc>
      </w:tr>
      <w:tr>
        <w:tc>
          <w:tcPr>
            <w:tcW w:type="dxa" w:w="22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Backend — data</w:t>
            </w:r>
          </w:p>
        </w:tc>
        <w:tc>
          <w:tcPr>
            <w:tcW w:type="dxa" w:w="71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ENTEMP repository — officer-by-group query, assignment lookup by number, current active assignment</w:t>
            </w:r>
          </w:p>
        </w:tc>
      </w:tr>
      <w:tr>
        <w:tc>
          <w:tcPr>
            <w:tcW w:type="dxa" w:w="2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Backend — configuration</w:t>
            </w:r>
          </w:p>
        </w:tc>
        <w:tc>
          <w:tcPr>
            <w:tcW w:type="dxa" w:w="71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Organization type enumeration; organization range configuration</w:t>
            </w:r>
          </w:p>
        </w:tc>
      </w:tr>
      <w:tr>
        <w:tc>
          <w:tcPr>
            <w:tcW w:type="dxa" w:w="22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Backend — contracts</w:t>
            </w:r>
          </w:p>
        </w:tc>
        <w:tc>
          <w:tcPr>
            <w:tcW w:type="dxa" w:w="71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Change Access configuration DTO; current access context DTO; Change Access response DTO; staff user options DTO</w:t>
            </w:r>
          </w:p>
        </w:tc>
      </w:tr>
      <w:tr>
        <w:tc>
          <w:tcPr>
            <w:tcW w:type="dxa" w:w="2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Frontend</w:t>
            </w:r>
          </w:p>
        </w:tc>
        <w:tc>
          <w:tcPr>
            <w:tcW w:type="dxa" w:w="71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Application header component; staff cascade combo component; National Redux slice</w:t>
            </w:r>
          </w:p>
        </w:tc>
      </w:tr>
      <w:tr>
        <w:tc>
          <w:tcPr>
            <w:tcW w:type="dxa" w:w="22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Client-side state</w:t>
            </w:r>
          </w:p>
        </w:tc>
        <w:tc>
          <w:tcPr>
            <w:tcW w:type="dxa" w:w="71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Persisted original-role and user-context keys scoped by user identifier</w:t>
            </w:r>
          </w:p>
        </w:tc>
      </w:tr>
    </w:tbl>
    <w:p>
      <w:pPr>
        <w:pBdr>
          <w:left w:val="single" w:color="C00000" w:sz="18" w:space="10"/>
        </w:pBdr>
        <w:spacing w:after="160" w:before="140" w:line="276"/>
        <w:ind w:left="200"/>
      </w:pPr>
      <w:r>
        <w:rPr>
          <w:b/>
          <w:bCs/>
          <w:color w:val="C00000"/>
          <w:sz w:val="20"/>
          <w:szCs w:val="20"/>
        </w:rPr>
        <w:t xml:space="preserve">UAT discipline.  </w:t>
      </w:r>
      <w:r>
        <w:rPr>
          <w:sz w:val="20"/>
          <w:szCs w:val="20"/>
        </w:rPr>
        <w:t xml:space="preserve">This feature is in UAT. Every change above should be additive and narrowly scoped. Do not refactor the organization model, the context store or the menu derivation while remediating these findings. Two of the three most useful fixes on this project to date were single-line changes; the one large corrective change that was attempted had to be reverted.</w:t>
      </w:r>
    </w:p>
    <w:p>
      <w:r>
        <w:br w:type="page"/>
      </w:r>
    </w:p>
    <w:p>
      <w:pPr>
        <w:pStyle w:val="Heading1"/>
        <w:pBdr>
          <w:bottom w:val="single" w:color="1F3864" w:sz="6" w:space="4"/>
        </w:pBdr>
        <w:spacing w:after="160" w:before="360"/>
      </w:pPr>
      <w:r>
        <w:rPr>
          <w:b/>
          <w:bCs/>
          <w:color w:val="1F3864"/>
          <w:sz w:val="30"/>
          <w:szCs w:val="30"/>
        </w:rPr>
        <w:t xml:space="preserve">8.  Decisions Required from the Client</w:t>
      </w:r>
    </w:p>
    <w:p>
      <w:pPr>
        <w:spacing w:after="120" w:line="276"/>
      </w:pPr>
      <w:r>
        <w:rPr>
          <w:b w:val="false"/>
          <w:bCs w:val="false"/>
          <w:i w:val="false"/>
          <w:iCs w:val="false"/>
          <w:sz w:val="20"/>
          <w:szCs w:val="20"/>
        </w:rPr>
        <w:t xml:space="preserve">These cannot be resolved by development. Each blocks at least one remediation item.</w:t>
      </w:r>
    </w:p>
    <w:p>
      <w:pPr>
        <w:pStyle w:val="Heading2"/>
        <w:spacing w:after="110" w:before="260"/>
      </w:pPr>
      <w:r>
        <w:rPr>
          <w:b/>
          <w:bCs/>
          <w:color w:val="2E5496"/>
          <w:sz w:val="24"/>
          <w:szCs w:val="24"/>
        </w:rPr>
        <w:t xml:space="preserve">D1  —  Acting Group Manager versus removal of the level control</w:t>
      </w:r>
    </w:p>
    <w:p>
      <w:pPr>
        <w:spacing w:after="120" w:line="276"/>
      </w:pPr>
      <w:r>
        <w:rPr>
          <w:b/>
          <w:bCs/>
          <w:sz w:val="20"/>
          <w:szCs w:val="20"/>
        </w:rPr>
        <w:t xml:space="preserve">Brian (B2): </w:t>
      </w:r>
      <w:r>
        <w:rPr>
          <w:sz w:val="20"/>
          <w:szCs w:val="20"/>
        </w:rPr>
        <w:t xml:space="preserve">"ELevel for all users should be controlled through Change Access, not Change Role." Remove Select New Level and Enter Level.</w:t>
      </w:r>
    </w:p>
    <w:p>
      <w:pPr>
        <w:spacing w:after="120" w:line="276"/>
      </w:pPr>
      <w:r>
        <w:rPr>
          <w:b/>
          <w:bCs/>
          <w:sz w:val="20"/>
          <w:szCs w:val="20"/>
        </w:rPr>
        <w:t xml:space="preserve">Sarah (finding 2 and the AGM section): </w:t>
      </w:r>
      <w:r>
        <w:rPr>
          <w:sz w:val="20"/>
          <w:szCs w:val="20"/>
        </w:rPr>
        <w:t xml:space="preserve">legacy ENTITY allows the same assignment number to be used at either employee or group level, and the legacy documentation specifically describes an RO profiled as Acting Group Manager being able to choose between RO and group access.</w:t>
      </w:r>
    </w:p>
    <w:p>
      <w:pPr>
        <w:spacing w:after="120" w:line="276"/>
      </w:pPr>
      <w:r>
        <w:rPr>
          <w:b w:val="false"/>
          <w:bCs w:val="false"/>
          <w:i w:val="false"/>
          <w:iCs w:val="false"/>
          <w:sz w:val="20"/>
          <w:szCs w:val="20"/>
        </w:rPr>
        <w:t xml:space="preserve">These are not both satisfiable by assignment number alone. ELEVEL 7 is precisely the case where one assignment number maps to two valid ELEVELs. If the level control is removed and ELEVEL is derived solely from the assignment record, an Acting Group Manager has no way to express which of their two entitlements they are exercising.</w:t>
      </w:r>
    </w:p>
    <w:p>
      <w:pPr>
        <w:spacing w:after="120" w:line="276"/>
      </w:pPr>
      <w:r>
        <w:rPr>
          <w:b w:val="false"/>
          <w:bCs w:val="false"/>
          <w:i w:val="false"/>
          <w:iCs w:val="false"/>
          <w:sz w:val="20"/>
          <w:szCs w:val="20"/>
        </w:rPr>
        <w:t xml:space="preserve">Legacy resolved this in two ways visible in the supplied evidence: a choice presented at login, and an inline marker in the Change Access list. The legacy capture in finding 6 shows the marker in use:</w:t>
      </w:r>
    </w:p>
    <w:p>
      <w:pPr>
        <w:shd w:fill="F4F4F4" w:val="clear"/>
        <w:spacing w:after="60" w:before="60"/>
        <w:ind w:left="280"/>
      </w:pPr>
      <w:r>
        <w:rPr>
          <w:rFonts w:ascii="Consolas" w:cs="Consolas" w:eastAsia="Consolas" w:hAnsi="Consolas"/>
          <w:sz w:val="17"/>
          <w:szCs w:val="17"/>
        </w:rPr>
        <w:t xml:space="preserve">26131410  R. GUNN        AGM</w:t>
      </w:r>
    </w:p>
    <w:p>
      <w:pPr>
        <w:spacing w:after="120" w:line="276"/>
      </w:pPr>
      <w:r>
        <w:rPr>
          <w:b w:val="false"/>
          <w:bCs w:val="false"/>
          <w:i w:val="false"/>
          <w:iCs w:val="false"/>
          <w:sz w:val="20"/>
          <w:szCs w:val="20"/>
        </w:rPr>
        <w:t xml:space="preserve">Options for the client to consider:</w:t>
      </w:r>
    </w:p>
    <w:p>
      <w:pPr>
        <w:pStyle w:val="ListParagraph"/>
        <w:numPr>
          <w:ilvl w:val="0"/>
          <w:numId w:val="2"/>
        </w:numPr>
        <w:spacing w:after="70" w:line="276"/>
      </w:pPr>
      <w:r>
        <w:rPr>
          <w:sz w:val="20"/>
          <w:szCs w:val="20"/>
        </w:rPr>
        <w:t xml:space="preserve">Prompt at login for users whose profile is Acting Group Manager, as legacy does.</w:t>
      </w:r>
    </w:p>
    <w:p>
      <w:pPr>
        <w:pStyle w:val="ListParagraph"/>
        <w:numPr>
          <w:ilvl w:val="0"/>
          <w:numId w:val="2"/>
        </w:numPr>
        <w:spacing w:after="70" w:line="276"/>
      </w:pPr>
      <w:r>
        <w:rPr>
          <w:sz w:val="20"/>
          <w:szCs w:val="20"/>
        </w:rPr>
        <w:t xml:space="preserve">Surface both entitlements as two separate selectable entries in the assignment list, so the choice is made by selection rather than by typing a level.</w:t>
      </w:r>
    </w:p>
    <w:p>
      <w:pPr>
        <w:pStyle w:val="ListParagraph"/>
        <w:numPr>
          <w:ilvl w:val="0"/>
          <w:numId w:val="2"/>
        </w:numPr>
        <w:spacing w:after="70" w:line="276"/>
      </w:pPr>
      <w:r>
        <w:rPr>
          <w:sz w:val="20"/>
          <w:szCs w:val="20"/>
        </w:rPr>
        <w:t xml:space="preserve">Retain a level control, but render it only for Acting Group Manager profiles.</w:t>
      </w:r>
    </w:p>
    <w:p>
      <w:pPr>
        <w:pBdr>
          <w:left w:val="single" w:color="C00000" w:sz="18" w:space="10"/>
        </w:pBdr>
        <w:spacing w:after="160" w:before="140" w:line="276"/>
        <w:ind w:left="200"/>
      </w:pPr>
      <w:r>
        <w:rPr>
          <w:b/>
          <w:bCs/>
          <w:color w:val="C00000"/>
          <w:sz w:val="20"/>
          <w:szCs w:val="20"/>
        </w:rPr>
        <w:t xml:space="preserve">Decision owners.  </w:t>
      </w:r>
      <w:r>
        <w:rPr>
          <w:sz w:val="20"/>
          <w:szCs w:val="20"/>
        </w:rPr>
        <w:t xml:space="preserve">Brian, Sarah and Eric. R6 and R9 cannot start without this.</w:t>
      </w:r>
    </w:p>
    <w:p>
      <w:pPr>
        <w:pStyle w:val="Heading2"/>
        <w:spacing w:after="110" w:before="260"/>
      </w:pPr>
      <w:r>
        <w:rPr>
          <w:b/>
          <w:bCs/>
          <w:color w:val="2E5496"/>
          <w:sz w:val="24"/>
          <w:szCs w:val="24"/>
        </w:rPr>
        <w:t xml:space="preserve">D2  —  Definition of "national users"</w:t>
      </w:r>
    </w:p>
    <w:p>
      <w:pPr>
        <w:spacing w:after="120" w:line="276"/>
      </w:pPr>
      <w:r>
        <w:rPr>
          <w:b w:val="false"/>
          <w:bCs w:val="false"/>
          <w:i w:val="false"/>
          <w:iCs w:val="false"/>
          <w:sz w:val="20"/>
          <w:szCs w:val="20"/>
        </w:rPr>
        <w:t xml:space="preserve">B2 asks for the level controls to be removed "for national users", noting they are already removed for non-national users. The application currently gates the four-field modal on staff status, determined by the assignment number prefix — not on ELEVEL 0.</w:t>
      </w:r>
    </w:p>
    <w:p>
      <w:pPr>
        <w:spacing w:after="120" w:line="276"/>
      </w:pPr>
      <w:r>
        <w:rPr>
          <w:b w:val="false"/>
          <w:bCs w:val="false"/>
          <w:i w:val="false"/>
          <w:iCs w:val="false"/>
          <w:sz w:val="20"/>
          <w:szCs w:val="20"/>
        </w:rPr>
        <w:t xml:space="preserve">These two populations overlap heavily but are not identical. Implementing the instruction literally against the wrong definition will change behaviour for a set of users Brian may not have intended to affect. Confirm which is meant: ELEVEL 0, or staff-prefix assignment.</w:t>
      </w:r>
    </w:p>
    <w:p>
      <w:pPr>
        <w:pStyle w:val="Heading2"/>
        <w:spacing w:after="110" w:before="260"/>
      </w:pPr>
      <w:r>
        <w:rPr>
          <w:b/>
          <w:bCs/>
          <w:color w:val="2E5496"/>
          <w:sz w:val="24"/>
          <w:szCs w:val="24"/>
        </w:rPr>
        <w:t xml:space="preserve">D3  —  Definition of "Keep Selection as Default"</w:t>
      </w:r>
    </w:p>
    <w:p>
      <w:pPr>
        <w:spacing w:after="120" w:line="276"/>
      </w:pPr>
      <w:r>
        <w:rPr>
          <w:b w:val="false"/>
          <w:bCs w:val="false"/>
          <w:i w:val="false"/>
          <w:iCs w:val="false"/>
          <w:sz w:val="20"/>
          <w:szCs w:val="20"/>
        </w:rPr>
        <w:t xml:space="preserve">No written definition of this control has ever been supplied to development. Sarah's questions are the specification that is needed, and all four must be answered:</w:t>
      </w:r>
    </w:p>
    <w:p>
      <w:pPr>
        <w:pStyle w:val="ListParagraph"/>
        <w:numPr>
          <w:ilvl w:val="0"/>
          <w:numId w:val="2"/>
        </w:numPr>
        <w:spacing w:after="70" w:line="276"/>
      </w:pPr>
      <w:r>
        <w:rPr>
          <w:sz w:val="20"/>
          <w:szCs w:val="20"/>
        </w:rPr>
        <w:t xml:space="preserve">What value is saved as the default.</w:t>
      </w:r>
    </w:p>
    <w:p>
      <w:pPr>
        <w:pStyle w:val="ListParagraph"/>
        <w:numPr>
          <w:ilvl w:val="0"/>
          <w:numId w:val="2"/>
        </w:numPr>
        <w:spacing w:after="70" w:line="276"/>
      </w:pPr>
      <w:r>
        <w:rPr>
          <w:sz w:val="20"/>
          <w:szCs w:val="20"/>
        </w:rPr>
        <w:t xml:space="preserve">Whether the default is the assignment number, the role/ELEVEL, the Organization, or a combination.</w:t>
      </w:r>
    </w:p>
    <w:p>
      <w:pPr>
        <w:pStyle w:val="ListParagraph"/>
        <w:numPr>
          <w:ilvl w:val="0"/>
          <w:numId w:val="2"/>
        </w:numPr>
        <w:spacing w:after="70" w:line="276"/>
      </w:pPr>
      <w:r>
        <w:rPr>
          <w:sz w:val="20"/>
          <w:szCs w:val="20"/>
        </w:rPr>
        <w:t xml:space="preserve">When the default is subsequently applied.</w:t>
      </w:r>
    </w:p>
    <w:p>
      <w:pPr>
        <w:pStyle w:val="ListParagraph"/>
        <w:numPr>
          <w:ilvl w:val="0"/>
          <w:numId w:val="2"/>
        </w:numPr>
        <w:spacing w:after="70" w:line="276"/>
      </w:pPr>
      <w:r>
        <w:rPr>
          <w:sz w:val="20"/>
          <w:szCs w:val="20"/>
        </w:rPr>
        <w:t xml:space="preserve">How it behaves for users with multiple assignment numbers, or multiple roles associated with the same assignment number.</w:t>
      </w:r>
    </w:p>
    <w:p>
      <w:pPr>
        <w:pBdr>
          <w:left w:val="single" w:color="2E5496" w:sz="18" w:space="10"/>
        </w:pBdr>
        <w:spacing w:after="160" w:before="140" w:line="276"/>
        <w:ind w:left="200"/>
      </w:pPr>
      <w:r>
        <w:rPr>
          <w:b/>
          <w:bCs/>
          <w:color w:val="2E5496"/>
          <w:sz w:val="20"/>
          <w:szCs w:val="20"/>
        </w:rPr>
        <w:t xml:space="preserve">Note the dependency.  </w:t>
      </w:r>
      <w:r>
        <w:rPr>
          <w:sz w:val="20"/>
          <w:szCs w:val="20"/>
        </w:rPr>
        <w:t xml:space="preserve">The fourth question cannot be answered independently of D1 — multiple roles against one assignment number is the Acting Group Manager case.</w:t>
      </w:r>
    </w:p>
    <w:p>
      <w:pPr>
        <w:pStyle w:val="Heading2"/>
        <w:spacing w:after="110" w:before="260"/>
      </w:pPr>
      <w:r>
        <w:rPr>
          <w:b/>
          <w:bCs/>
          <w:color w:val="2E5496"/>
          <w:sz w:val="24"/>
          <w:szCs w:val="24"/>
        </w:rPr>
        <w:t xml:space="preserve">D4  —  Area 85 assignment-number structure by organization</w:t>
      </w:r>
    </w:p>
    <w:p>
      <w:pPr>
        <w:spacing w:after="120" w:line="276"/>
      </w:pPr>
      <w:r>
        <w:rPr>
          <w:b w:val="false"/>
          <w:bCs w:val="false"/>
          <w:i w:val="false"/>
          <w:iCs w:val="false"/>
          <w:sz w:val="20"/>
          <w:szCs w:val="20"/>
        </w:rPr>
        <w:t xml:space="preserve">Sarah states in finding 8 that Field and Advisory use separate assignment-number structures, that legacy assigns separate Area 85 numbers for Field and Advisory access even at National level, and that Organization is associated with the assignment number selected for access.</w:t>
      </w:r>
    </w:p>
    <w:p>
      <w:pPr>
        <w:spacing w:after="120" w:line="276"/>
      </w:pPr>
      <w:r>
        <w:rPr>
          <w:b w:val="false"/>
          <w:bCs w:val="false"/>
          <w:i w:val="false"/>
          <w:iCs w:val="false"/>
          <w:sz w:val="20"/>
          <w:szCs w:val="20"/>
        </w:rPr>
        <w:t xml:space="preserve">The application currently treats one Area 85 prefix as a single generic staff marker. If Sarah's statement is correct, that prefix identifies one specific national organization and the model is incomplete rather than merely unhandled.</w:t>
      </w:r>
    </w:p>
    <w:p>
      <w:pPr>
        <w:spacing w:after="120" w:line="276"/>
      </w:pPr>
      <w:r>
        <w:rPr>
          <w:b w:val="false"/>
          <w:bCs w:val="false"/>
          <w:i w:val="false"/>
          <w:iCs w:val="false"/>
          <w:sz w:val="20"/>
          <w:szCs w:val="20"/>
        </w:rPr>
        <w:t xml:space="preserve">Development requires the authoritative list of Area 85 prefixes and the organization each corresponds to. This is directly upstream of RC-2 and determines whether R2 is a small guard clause or a data model correction.</w:t>
      </w:r>
    </w:p>
    <w:p>
      <w:pPr>
        <w:pStyle w:val="Heading2"/>
        <w:spacing w:after="110" w:before="260"/>
      </w:pPr>
      <w:r>
        <w:rPr>
          <w:b/>
          <w:bCs/>
          <w:color w:val="2E5496"/>
          <w:sz w:val="24"/>
          <w:szCs w:val="24"/>
        </w:rPr>
        <w:t xml:space="preserve">D5  —  Environment and build parity</w:t>
      </w:r>
    </w:p>
    <w:p>
      <w:pPr>
        <w:spacing w:after="120" w:line="276"/>
      </w:pPr>
      <w:r>
        <w:rPr>
          <w:b w:val="false"/>
          <w:bCs w:val="false"/>
          <w:i w:val="false"/>
          <w:iCs w:val="false"/>
          <w:sz w:val="20"/>
          <w:szCs w:val="20"/>
        </w:rPr>
        <w:t xml:space="preserve">Brian states that the single-Org behaviour is "already properly coded in Test". Sarah tested MTEST on 11 August. Confirm which build MTEST was running on that date and whether it matches TEST.</w:t>
      </w:r>
    </w:p>
    <w:p>
      <w:pPr>
        <w:spacing w:after="120" w:line="276"/>
      </w:pPr>
      <w:r>
        <w:rPr>
          <w:b w:val="false"/>
          <w:bCs w:val="false"/>
          <w:i w:val="false"/>
          <w:iCs w:val="false"/>
          <w:sz w:val="20"/>
          <w:szCs w:val="20"/>
        </w:rPr>
        <w:t xml:space="preserve">This is asked for a specific reason. On this project, findings have previously resolved to an outdated deployed build and to stale browser cache rather than to defects in source. Establishing parity before assigning work avoids developers investigating behaviour that no longer exists in the current build.</w:t>
      </w:r>
    </w:p>
    <w:p>
      <w:pPr>
        <w:pStyle w:val="Heading2"/>
        <w:spacing w:after="110" w:before="260"/>
      </w:pPr>
      <w:r>
        <w:rPr>
          <w:b/>
          <w:bCs/>
          <w:color w:val="2E5496"/>
          <w:sz w:val="24"/>
          <w:szCs w:val="24"/>
        </w:rPr>
        <w:t xml:space="preserve">D6  —  Header label wording</w:t>
      </w:r>
    </w:p>
    <w:p>
      <w:pPr>
        <w:spacing w:after="120" w:line="276"/>
      </w:pPr>
      <w:r>
        <w:rPr>
          <w:b w:val="false"/>
          <w:bCs w:val="false"/>
          <w:i w:val="false"/>
          <w:iCs w:val="false"/>
          <w:sz w:val="20"/>
          <w:szCs w:val="20"/>
        </w:rPr>
        <w:t xml:space="preserve">The mockup S3 establishes the format for the user's own role line. The wording for the "Viewing as" indicator at each hierarchy level is proposed in Appendix A but only the National case is explicitly evidenced in Sarah's report. Confirm the full set before implementation.</w:t>
      </w:r>
    </w:p>
    <w:p>
      <w:pPr>
        <w:pStyle w:val="Heading2"/>
        <w:spacing w:after="110" w:before="260"/>
      </w:pPr>
      <w:r>
        <w:rPr>
          <w:b/>
          <w:bCs/>
          <w:color w:val="2E5496"/>
          <w:sz w:val="24"/>
          <w:szCs w:val="24"/>
        </w:rPr>
        <w:t xml:space="preserve">D7  —  Supply of referenced material</w:t>
      </w:r>
    </w:p>
    <w:p>
      <w:pPr>
        <w:spacing w:after="120" w:line="276"/>
      </w:pPr>
      <w:r>
        <w:rPr>
          <w:b w:val="false"/>
          <w:bCs w:val="false"/>
          <w:i w:val="false"/>
          <w:iCs w:val="false"/>
          <w:sz w:val="20"/>
          <w:szCs w:val="20"/>
        </w:rPr>
        <w:t xml:space="preserve">Two artefacts are referenced by the client but were not provided to development: the T-SIGN mock-up update (S4) and ticket SP460 together with the CCD "loop" defect (S6). Brian's rationale for the entire Change Role redesign rests on the CCD defect. Request both.</w:t>
      </w:r>
    </w:p>
    <w:p>
      <w:r>
        <w:br w:type="page"/>
      </w:r>
    </w:p>
    <w:p>
      <w:pPr>
        <w:pStyle w:val="Heading1"/>
        <w:pBdr>
          <w:bottom w:val="single" w:color="1F3864" w:sz="6" w:space="4"/>
        </w:pBdr>
        <w:spacing w:after="160" w:before="360"/>
      </w:pPr>
      <w:r>
        <w:rPr>
          <w:b/>
          <w:bCs/>
          <w:color w:val="1F3864"/>
          <w:sz w:val="30"/>
          <w:szCs w:val="30"/>
        </w:rPr>
        <w:t xml:space="preserve">9.  Diagnostics to Run Before Development</w:t>
      </w:r>
    </w:p>
    <w:p>
      <w:pPr>
        <w:spacing w:after="120" w:line="276"/>
      </w:pPr>
      <w:r>
        <w:rPr>
          <w:b w:val="false"/>
          <w:bCs w:val="false"/>
          <w:i w:val="false"/>
          <w:iCs w:val="false"/>
          <w:sz w:val="20"/>
          <w:szCs w:val="20"/>
        </w:rPr>
        <w:t xml:space="preserve">Each of these is short and each either confirms or eliminates a stated hypothesis. Running them first will prevent work being started against the wrong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400"/>
        <w:gridCol w:w="2560"/>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Ref</w:t>
            </w:r>
          </w:p>
        </w:tc>
        <w:tc>
          <w:tcPr>
            <w:tcW w:type="dxa" w:w="36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Check</w:t>
            </w:r>
          </w:p>
        </w:tc>
        <w:tc>
          <w:tcPr>
            <w:tcW w:type="dxa" w:w="2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Confirms / eliminates</w:t>
            </w:r>
          </w:p>
        </w:tc>
        <w:tc>
          <w:tcPr>
            <w:tcW w:type="dxa" w:w="25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Expected if hypothesis holds</w:t>
            </w:r>
          </w:p>
        </w:tc>
      </w:tr>
      <w:tr>
        <w:tc>
          <w:tcPr>
            <w:tcW w:type="dxa" w:w="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Q1</w:t>
            </w:r>
          </w:p>
        </w:tc>
        <w:tc>
          <w:tcPr>
            <w:tcW w:type="dxa" w:w="36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Call the officer endpoint directly with an explicit group code of 261314, outside the UI session</w:t>
            </w:r>
          </w:p>
        </w:tc>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RC-1 — whether the defect is in the query or in the caller</w:t>
            </w:r>
          </w:p>
        </w:tc>
        <w:tc>
          <w:tcPr>
            <w:tcW w:type="dxa" w:w="2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Direct call returns the four legacy officers; UI returns the staff population. Confirms the defect is in the parameter path</w:t>
            </w:r>
          </w:p>
        </w:tc>
      </w:tr>
      <w:tr>
        <w:tc>
          <w:tcPr>
            <w:tcW w:type="dxa" w:w="8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Q2</w:t>
            </w:r>
          </w:p>
        </w:tc>
        <w:tc>
          <w:tcPr>
            <w:tcW w:type="dxa" w:w="36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Retrieve the Change Access configuration for assignment 85906270 and inspect the resolved organization value; then request territories for Area 25 with an explicit CF organization type</w:t>
            </w:r>
          </w:p>
        </w:tc>
        <w:tc>
          <w:tcPr>
            <w:tcW w:type="dxa" w:w="2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RC-2 — whether staff organization resolution is the cause</w:t>
            </w:r>
          </w:p>
        </w:tc>
        <w:tc>
          <w:tcPr>
            <w:tcW w:type="dxa" w:w="2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Resolved organization is the staff type; explicit CF request returns territories where the session request returns none</w:t>
            </w:r>
          </w:p>
        </w:tc>
      </w:tr>
      <w:tr>
        <w:tc>
          <w:tcPr>
            <w:tcW w:type="dxa" w:w="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Q3</w:t>
            </w:r>
          </w:p>
        </w:tc>
        <w:tc>
          <w:tcPr>
            <w:tcW w:type="dxa" w:w="36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Query ENTEMP directly for group 261314 and compare the result set against the legacy capture in finding 6</w:t>
            </w:r>
          </w:p>
        </w:tc>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RC-3 — which specific predicate is missing</w:t>
            </w:r>
          </w:p>
        </w:tc>
        <w:tc>
          <w:tcPr>
            <w:tcW w:type="dxa" w:w="2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Extra rows are blocked/vacant, structural placeholders, or duplicate records for the same employee</w:t>
            </w:r>
          </w:p>
        </w:tc>
      </w:tr>
      <w:tr>
        <w:tc>
          <w:tcPr>
            <w:tcW w:type="dxa" w:w="8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Q4</w:t>
            </w:r>
          </w:p>
        </w:tc>
        <w:tc>
          <w:tcPr>
            <w:tcW w:type="dxa" w:w="36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Reproduce finding 9 after clearing browser cache and performing a hard refresh, with persisted client context keys removed</w:t>
            </w:r>
          </w:p>
        </w:tc>
        <w:tc>
          <w:tcPr>
            <w:tcW w:type="dxa" w:w="2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RC-4 — server-side rebuild versus client-side stale state</w:t>
            </w:r>
          </w:p>
        </w:tc>
        <w:tc>
          <w:tcPr>
            <w:tcW w:type="dxa" w:w="2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If it does not reproduce, the defect is client-side and R4 changes scope entirely</w:t>
            </w:r>
          </w:p>
        </w:tc>
      </w:tr>
      <w:tr>
        <w:tc>
          <w:tcPr>
            <w:tcW w:type="dxa" w:w="8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Q5</w:t>
            </w:r>
          </w:p>
        </w:tc>
        <w:tc>
          <w:tcPr>
            <w:tcW w:type="dxa" w:w="36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Confirm the MTEST build identifier as at 11 August 2026 against the current TEST build</w:t>
            </w:r>
          </w:p>
        </w:tc>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Whether any findings are already resolved in a later build</w:t>
            </w:r>
          </w:p>
        </w:tc>
        <w:tc>
          <w:tcPr>
            <w:tcW w:type="dxa" w:w="25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Any finding not reproducible on the current build is closed without code change</w:t>
            </w:r>
          </w:p>
        </w:tc>
      </w:tr>
      <w:tr>
        <w:tc>
          <w:tcPr>
            <w:tcW w:type="dxa" w:w="8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Q6</w:t>
            </w:r>
          </w:p>
        </w:tc>
        <w:tc>
          <w:tcPr>
            <w:tcW w:type="dxa" w:w="36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Retrieve the assignment record set for 23091708 ordered by activity status</w:t>
            </w:r>
          </w:p>
        </w:tc>
        <w:tc>
          <w:tcPr>
            <w:tcW w:type="dxa" w:w="2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RC-5(b) — the name resolution defect</w:t>
            </w:r>
          </w:p>
        </w:tc>
        <w:tc>
          <w:tcPr>
            <w:tcW w:type="dxa" w:w="25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Multiple historical rows exist; the first row by natural order is the disbanded occupant</w:t>
            </w:r>
          </w:p>
        </w:tc>
      </w:tr>
    </w:tbl>
    <w:p>
      <w:pPr>
        <w:spacing w:after="160"/>
      </w:pPr>
      <w:r>
        <w:t xml:space="preserve"/>
      </w:r>
    </w:p>
    <w:p>
      <w:pPr>
        <w:pBdr>
          <w:left w:val="single" w:color="2E5496" w:sz="18" w:space="10"/>
        </w:pBdr>
        <w:spacing w:after="160" w:before="140" w:line="276"/>
        <w:ind w:left="200"/>
      </w:pPr>
      <w:r>
        <w:rPr>
          <w:b/>
          <w:bCs/>
          <w:color w:val="2E5496"/>
          <w:sz w:val="20"/>
          <w:szCs w:val="20"/>
        </w:rPr>
        <w:t xml:space="preserve">Suggested sequence.  </w:t>
      </w:r>
      <w:r>
        <w:rPr>
          <w:sz w:val="20"/>
          <w:szCs w:val="20"/>
        </w:rPr>
        <w:t xml:space="preserve">Run Q5 first. If MTEST was behind TEST on 11 August, part of the finding list may already be resolved and the remaining scope will be smaller than it currently appears.</w:t>
      </w:r>
    </w:p>
    <w:p>
      <w:r>
        <w:br w:type="page"/>
      </w:r>
    </w:p>
    <w:p>
      <w:pPr>
        <w:pStyle w:val="Heading1"/>
        <w:pBdr>
          <w:bottom w:val="single" w:color="1F3864" w:sz="6" w:space="4"/>
        </w:pBdr>
        <w:spacing w:after="160" w:before="360"/>
      </w:pPr>
      <w:r>
        <w:rPr>
          <w:b/>
          <w:bCs/>
          <w:color w:val="1F3864"/>
          <w:sz w:val="30"/>
          <w:szCs w:val="30"/>
        </w:rPr>
        <w:t xml:space="preserve">10.  Acting Group Manager (ELEVEL 7) — Deferred Scope</w:t>
      </w:r>
    </w:p>
    <w:p>
      <w:pPr>
        <w:spacing w:after="120" w:line="276"/>
      </w:pPr>
      <w:r>
        <w:rPr>
          <w:b w:val="false"/>
          <w:bCs w:val="false"/>
          <w:i w:val="false"/>
          <w:iCs w:val="false"/>
          <w:sz w:val="20"/>
          <w:szCs w:val="20"/>
        </w:rPr>
        <w:t xml:space="preserve">The client has asked for an end-to-end demonstration of Acting Group Manager functionality once the findings above are corrected. This is a separate deliverable and separate scope; it is not part of the remediation.</w:t>
      </w:r>
    </w:p>
    <w:p>
      <w:pPr>
        <w:spacing w:after="120" w:line="276"/>
      </w:pPr>
      <w:r>
        <w:rPr>
          <w:sz w:val="20"/>
          <w:szCs w:val="20"/>
        </w:rPr>
        <w:t xml:space="preserve">The client's stated condition is explicit: this demonstration is requested </w:t>
      </w:r>
      <w:r>
        <w:rPr>
          <w:b/>
          <w:bCs/>
          <w:sz w:val="20"/>
          <w:szCs w:val="20"/>
        </w:rPr>
        <w:t xml:space="preserve">once the identified Change Role, Change Access, assignment number, data filtering and Organization issues have been corrected.</w:t>
      </w:r>
      <w:r>
        <w:rPr>
          <w:sz w:val="20"/>
          <w:szCs w:val="20"/>
        </w:rPr>
        <w:t xml:space="preserve"> It should be scheduled after R1 through R7, not alongside them.</w:t>
      </w:r>
    </w:p>
    <w:p>
      <w:pPr>
        <w:pStyle w:val="Heading3"/>
        <w:spacing w:after="90" w:before="200"/>
      </w:pPr>
      <w:r>
        <w:rPr>
          <w:b/>
          <w:bCs/>
          <w:color w:val="333333"/>
          <w:sz w:val="21"/>
          <w:szCs w:val="21"/>
        </w:rPr>
        <w:t xml:space="preserve">Scenarios the client requires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Scenario</w:t>
            </w:r>
          </w:p>
        </w:tc>
        <w:tc>
          <w:tcPr>
            <w:tcW w:type="dxa" w:w="63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Expected behaviour to demonstrate</w:t>
            </w:r>
          </w:p>
        </w:tc>
      </w:tr>
      <w:tr>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RO with normal RO assignment</w:t>
            </w:r>
          </w:p>
        </w:tc>
        <w:tc>
          <w:tcPr>
            <w:tcW w:type="dxa" w:w="63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User is restricted to their own employee-level data</w:t>
            </w:r>
          </w:p>
        </w:tc>
      </w:tr>
      <w:tr>
        <w:tc>
          <w:tcPr>
            <w:tcW w:type="dxa" w:w="3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RO temporarily profiled as AGM</w:t>
            </w:r>
          </w:p>
        </w:tc>
        <w:tc>
          <w:tcPr>
            <w:tcW w:type="dxa" w:w="63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The same assignment number allows the user to select and access either their Employee role or their Acting GM role</w:t>
            </w:r>
          </w:p>
        </w:tc>
      </w:tr>
      <w:tr>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Permanent or long-term AGM</w:t>
            </w:r>
          </w:p>
        </w:tc>
        <w:tc>
          <w:tcPr>
            <w:tcW w:type="dxa" w:w="63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Correct Employee and Group role options are presented based on the user's profile</w:t>
            </w:r>
          </w:p>
        </w:tc>
      </w:tr>
      <w:tr>
        <w:tc>
          <w:tcPr>
            <w:tcW w:type="dxa" w:w="3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AGM acting for another group</w:t>
            </w:r>
          </w:p>
        </w:tc>
        <w:tc>
          <w:tcPr>
            <w:tcW w:type="dxa" w:w="63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The appropriate assignment number correctly identifies the group the user is acting for, and provides access only to the authorized data</w:t>
            </w:r>
          </w:p>
        </w:tc>
      </w:tr>
      <w:tr>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GM holding an additional Acting GM assignment or group</w:t>
            </w:r>
          </w:p>
        </w:tc>
        <w:tc>
          <w:tcPr>
            <w:tcW w:type="dxa" w:w="63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Regular GM access and additional Acting GM access are clearly distinguishable, and each selection yields the correct data scope</w:t>
            </w:r>
          </w:p>
        </w:tc>
      </w:tr>
      <w:tr>
        <w:tc>
          <w:tcPr>
            <w:tcW w:type="dxa" w:w="3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AGM changing to Employee</w:t>
            </w:r>
          </w:p>
        </w:tc>
        <w:tc>
          <w:tcPr>
            <w:tcW w:type="dxa" w:w="63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Inventory, Module, Time Activity, Reports, Queries and other applicable data are immediately restricted to employee-level scope</w:t>
            </w:r>
          </w:p>
        </w:tc>
      </w:tr>
      <w:tr>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AGM changing to Group</w:t>
            </w:r>
          </w:p>
        </w:tc>
        <w:tc>
          <w:tcPr>
            <w:tcW w:type="dxa" w:w="63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Authorized group-level data and functionality are immediately provided</w:t>
            </w:r>
          </w:p>
        </w:tc>
      </w:tr>
      <w:tr>
        <w:tc>
          <w:tcPr>
            <w:tcW w:type="dxa" w:w="30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AGM changing Employee then back to Group</w:t>
            </w:r>
          </w:p>
        </w:tc>
        <w:tc>
          <w:tcPr>
            <w:tcW w:type="dxa" w:w="63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Access context is correctly rebuilt; no employee-level filters, permissions or data remain on return to Group</w:t>
            </w:r>
          </w:p>
        </w:tc>
      </w:tr>
      <w:tr>
        <w:tc>
          <w:tcPr>
            <w:tcW w:type="dxa" w:w="30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AGM in CF changing to an AD role</w:t>
            </w:r>
          </w:p>
        </w:tc>
        <w:tc>
          <w:tcPr>
            <w:tcW w:type="dxa" w:w="63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Prior CF assignment, group, employee, role and data context are completely cleared, and only valid AD access is established</w:t>
            </w:r>
          </w:p>
        </w:tc>
      </w:tr>
    </w:tbl>
    <w:p>
      <w:pPr>
        <w:spacing w:after="160"/>
      </w:pPr>
      <w:r>
        <w:t xml:space="preserve"/>
      </w:r>
    </w:p>
    <w:p>
      <w:pPr>
        <w:pStyle w:val="Heading3"/>
        <w:spacing w:after="90" w:before="200"/>
      </w:pPr>
      <w:r>
        <w:rPr>
          <w:b/>
          <w:bCs/>
          <w:color w:val="333333"/>
          <w:sz w:val="21"/>
          <w:szCs w:val="21"/>
        </w:rPr>
        <w:t xml:space="preserve">The client's overarching validation criterion</w:t>
      </w:r>
    </w:p>
    <w:p>
      <w:pPr>
        <w:spacing w:after="120" w:line="276"/>
      </w:pPr>
      <w:r>
        <w:rPr>
          <w:sz w:val="20"/>
          <w:szCs w:val="20"/>
        </w:rPr>
        <w:t xml:space="preserve">For each scenario, changing the role, ELEVEL, assignment number or Organization must cause the application to </w:t>
      </w:r>
      <w:r>
        <w:rPr>
          <w:b/>
          <w:bCs/>
          <w:sz w:val="20"/>
          <w:szCs w:val="20"/>
        </w:rPr>
        <w:t xml:space="preserve">fully re-evaluate and rebuild the user's access context</w:t>
      </w:r>
      <w:r>
        <w:rPr>
          <w:sz w:val="20"/>
          <w:szCs w:val="20"/>
        </w:rPr>
        <w:t xml:space="preserve">. Information or permissions associated with a prior selection must not carry forward unless they are valid for the newly selected access.</w:t>
      </w:r>
    </w:p>
    <w:p>
      <w:pPr>
        <w:spacing w:after="120" w:line="276"/>
      </w:pPr>
      <w:r>
        <w:rPr>
          <w:b w:val="false"/>
          <w:bCs w:val="false"/>
          <w:i w:val="false"/>
          <w:iCs w:val="false"/>
          <w:sz w:val="20"/>
          <w:szCs w:val="20"/>
        </w:rPr>
        <w:t xml:space="preserve">The client further requires that the demonstration cover not only what appears under Change Role and Change Access, but confirmation that the resulting Inventory, Module, Time Activity, Reports, Queries, menus and functions are limited to the scope authorized by the selected role and assignment.</w:t>
      </w:r>
    </w:p>
    <w:p>
      <w:pPr>
        <w:pBdr>
          <w:left w:val="single" w:color="C00000" w:sz="18" w:space="10"/>
        </w:pBdr>
        <w:spacing w:after="160" w:before="140" w:line="276"/>
        <w:ind w:left="200"/>
      </w:pPr>
      <w:r>
        <w:rPr>
          <w:b/>
          <w:bCs/>
          <w:color w:val="C00000"/>
          <w:sz w:val="20"/>
          <w:szCs w:val="20"/>
        </w:rPr>
        <w:t xml:space="preserve">Note for planning.  </w:t>
      </w:r>
      <w:r>
        <w:rPr>
          <w:sz w:val="20"/>
          <w:szCs w:val="20"/>
        </w:rPr>
        <w:t xml:space="preserve">This criterion is broader than the Change Role and Change Access feature area. It asserts that every downstream view must honour the rebuilt context. RC-1 and RC-4 are both instances of that criterion failing today, which suggests the same pattern should be audited across the other views before the demonstration is scheduled.</w:t>
      </w:r>
    </w:p>
    <w:p>
      <w:r>
        <w:br w:type="page"/>
      </w:r>
    </w:p>
    <w:p>
      <w:pPr>
        <w:pStyle w:val="Heading1"/>
        <w:pBdr>
          <w:bottom w:val="single" w:color="1F3864" w:sz="6" w:space="4"/>
        </w:pBdr>
        <w:spacing w:after="160" w:before="360"/>
      </w:pPr>
      <w:r>
        <w:rPr>
          <w:b/>
          <w:bCs/>
          <w:color w:val="1F3864"/>
          <w:sz w:val="30"/>
          <w:szCs w:val="30"/>
        </w:rPr>
        <w:t xml:space="preserve">11.  Suggested Sequencing</w:t>
      </w:r>
    </w:p>
    <w:p>
      <w:pPr>
        <w:spacing w:after="120" w:line="276"/>
      </w:pPr>
      <w:r>
        <w:rPr>
          <w:b w:val="false"/>
          <w:bCs w:val="false"/>
          <w:i w:val="false"/>
          <w:iCs w:val="false"/>
          <w:sz w:val="20"/>
          <w:szCs w:val="20"/>
        </w:rPr>
        <w:t xml:space="preserve">Ordered to establish facts first, then deliver the highest-value fixes, then the items that require client input. This is a proposal for discussion, not a plan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506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Stage</w:t>
            </w:r>
          </w:p>
        </w:tc>
        <w:tc>
          <w:tcPr>
            <w:tcW w:type="dxa" w:w="31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Contents</w:t>
            </w:r>
          </w:p>
        </w:tc>
        <w:tc>
          <w:tcPr>
            <w:tcW w:type="dxa" w:w="50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Rationale</w:t>
            </w:r>
          </w:p>
        </w:tc>
      </w:tr>
      <w:t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Stage 0</w:t>
            </w:r>
          </w:p>
        </w:tc>
        <w:tc>
          <w:tcPr>
            <w:tcW w:type="dxa" w:w="31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Diagnostics Q1–Q6. Request D7 material. Raise D1–D6 with the client</w:t>
            </w:r>
          </w:p>
        </w:tc>
        <w:tc>
          <w:tcPr>
            <w:tcW w:type="dxa" w:w="50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Establishes which findings are real, which are already fixed, and unblocks the decision-dependent items. Nothing here requires a code change</w:t>
            </w:r>
          </w:p>
        </w:tc>
      </w:tr>
      <w:tr>
        <w:tc>
          <w:tcPr>
            <w:tcW w:type="dxa" w:w="12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Stage 1</w:t>
            </w:r>
          </w:p>
        </w:tc>
        <w:tc>
          <w:tcPr>
            <w:tcW w:type="dxa" w:w="31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R1, R3, R5b</w:t>
            </w:r>
          </w:p>
        </w:tc>
        <w:tc>
          <w:tcPr>
            <w:tcW w:type="dxa" w:w="50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The three highest-value defects with no client dependency. R1 alone addresses the most severe finding and may resolve part of finding 3. All three are narrowly scoped</w:t>
            </w:r>
          </w:p>
        </w:tc>
      </w:tr>
      <w:t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Stage 2</w:t>
            </w:r>
          </w:p>
        </w:tc>
        <w:tc>
          <w:tcPr>
            <w:tcW w:type="dxa" w:w="31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R2 (after D4), R4 (after Q4)</w:t>
            </w:r>
          </w:p>
        </w:tc>
        <w:tc>
          <w:tcPr>
            <w:tcW w:type="dxa" w:w="50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Both need a fact established first. R2 in particular may be a data model correction rather than a code fix, depending on D4</w:t>
            </w:r>
          </w:p>
        </w:tc>
      </w:tr>
      <w:tr>
        <w:tc>
          <w:tcPr>
            <w:tcW w:type="dxa" w:w="12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Stage 3</w:t>
            </w:r>
          </w:p>
        </w:tc>
        <w:tc>
          <w:tcPr>
            <w:tcW w:type="dxa" w:w="31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R5a, R5c, R7a, R7b, R7c</w:t>
            </w:r>
          </w:p>
        </w:tc>
        <w:tc>
          <w:tcPr>
            <w:tcW w:type="dxa" w:w="50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Presentation and header work. Low risk, high visibility to the client, and directly addresses the items most likely to be re-tested first</w:t>
            </w:r>
          </w:p>
        </w:tc>
      </w:tr>
      <w:tr>
        <w:tc>
          <w:tcPr>
            <w:tcW w:type="dxa" w:w="1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Stage 4</w:t>
            </w:r>
          </w:p>
        </w:tc>
        <w:tc>
          <w:tcPr>
            <w:tcW w:type="dxa" w:w="31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R6 (after D1 and D2)</w:t>
            </w:r>
          </w:p>
        </w:tc>
        <w:tc>
          <w:tcPr>
            <w:tcW w:type="dxa" w:w="50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The Change Role redesign. Estimated and approved as a specification change, not folded into defect remediation</w:t>
            </w:r>
          </w:p>
        </w:tc>
      </w:tr>
      <w:tr>
        <w:tc>
          <w:tcPr>
            <w:tcW w:type="dxa" w:w="12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Stage 5</w:t>
            </w:r>
          </w:p>
        </w:tc>
        <w:tc>
          <w:tcPr>
            <w:tcW w:type="dxa" w:w="31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R8, then R9</w:t>
            </w:r>
          </w:p>
        </w:tc>
        <w:tc>
          <w:tcPr>
            <w:tcW w:type="dxa" w:w="50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Requires a written definition for the default control, and the AGM scenarios by the client's own stated sequencing</w:t>
            </w:r>
          </w:p>
        </w:tc>
      </w:tr>
    </w:tbl>
    <w:p>
      <w:pPr>
        <w:spacing w:after="200"/>
      </w:pPr>
      <w:r>
        <w:t xml:space="preserve"/>
      </w:r>
    </w:p>
    <w:p>
      <w:pPr>
        <w:pStyle w:val="Heading3"/>
        <w:spacing w:after="90" w:before="200"/>
      </w:pPr>
      <w:r>
        <w:rPr>
          <w:b/>
          <w:bCs/>
          <w:color w:val="333333"/>
          <w:sz w:val="21"/>
          <w:szCs w:val="21"/>
        </w:rPr>
        <w:t xml:space="preserve">A note on client communication</w:t>
      </w:r>
    </w:p>
    <w:p>
      <w:pPr>
        <w:spacing w:after="120" w:line="276"/>
      </w:pPr>
      <w:r>
        <w:rPr>
          <w:b w:val="false"/>
          <w:bCs w:val="false"/>
          <w:i w:val="false"/>
          <w:iCs w:val="false"/>
          <w:sz w:val="20"/>
          <w:szCs w:val="20"/>
        </w:rPr>
        <w:t xml:space="preserve">Two points are worth making to the client alongside this plan, factually and without defensiveness. First, that a portion of the findings describes behaviour built to a specification the client supplied and accepted, and that changing it is welcome but is new work rather than rework. Second, that several findings share a single cause, so the count of nine findings overstates the amount of independent work — that is useful for the client to know, because it makes the remediation look more tractable than the raw list suggests.</w:t>
      </w:r>
    </w:p>
    <w:p>
      <w:r>
        <w:br w:type="page"/>
      </w:r>
    </w:p>
    <w:p>
      <w:pPr>
        <w:pStyle w:val="Heading1"/>
        <w:pBdr>
          <w:bottom w:val="single" w:color="1F3864" w:sz="6" w:space="4"/>
        </w:pBdr>
        <w:spacing w:after="160" w:before="360"/>
      </w:pPr>
      <w:r>
        <w:rPr>
          <w:b/>
          <w:bCs/>
          <w:color w:val="1F3864"/>
          <w:sz w:val="30"/>
          <w:szCs w:val="30"/>
        </w:rPr>
        <w:t xml:space="preserve">Appendix A  —  Header Specification</w:t>
      </w:r>
    </w:p>
    <w:p>
      <w:pPr>
        <w:pStyle w:val="Heading3"/>
        <w:spacing w:after="90" w:before="200"/>
      </w:pPr>
      <w:r>
        <w:rPr>
          <w:b/>
          <w:bCs/>
          <w:color w:val="333333"/>
          <w:sz w:val="21"/>
          <w:szCs w:val="21"/>
        </w:rPr>
        <w:t xml:space="preserve">A.1  Approved format for the user's own role line</w:t>
      </w:r>
    </w:p>
    <w:p>
      <w:pPr>
        <w:spacing w:after="120" w:line="276"/>
      </w:pPr>
      <w:r>
        <w:rPr>
          <w:b w:val="false"/>
          <w:bCs w:val="false"/>
          <w:i w:val="false"/>
          <w:iCs w:val="false"/>
          <w:sz w:val="20"/>
          <w:szCs w:val="20"/>
        </w:rPr>
        <w:t xml:space="preserve">From mockup S3, Draft — Mockups Login and Main Menu 05-09-2024.pptx, main menu for an ELEVEL 6 user and an ELEVEL 7 user operating at group level:</w:t>
      </w:r>
    </w:p>
    <w:p>
      <w:pPr>
        <w:shd w:fill="F4F4F4" w:val="clear"/>
        <w:spacing w:after="60" w:before="60"/>
        <w:ind w:left="280"/>
      </w:pPr>
      <w:r>
        <w:rPr>
          <w:rFonts w:ascii="Consolas" w:cs="Consolas" w:eastAsia="Consolas" w:hAnsi="Consolas"/>
          <w:sz w:val="17"/>
          <w:szCs w:val="17"/>
        </w:rPr>
        <w:t xml:space="preserve">Vainer, Svetlana  |  2507-2307: Manager</w:t>
      </w:r>
    </w:p>
    <w:p>
      <w:pPr>
        <w:spacing w:after="120" w:line="276"/>
      </w:pPr>
      <w:r>
        <w:rPr>
          <w:b w:val="false"/>
          <w:bCs w:val="false"/>
          <w:i w:val="false"/>
          <w:iCs w:val="false"/>
          <w:sz w:val="20"/>
          <w:szCs w:val="20"/>
        </w:rPr>
        <w:t xml:space="preserve">Structure: surname and forename, then the assignment number hyphenated in AATT-GGRR form, then the role title. One assignment number only.</w:t>
      </w:r>
    </w:p>
    <w:p>
      <w:pPr>
        <w:pStyle w:val="Heading3"/>
        <w:spacing w:after="90" w:before="200"/>
      </w:pPr>
      <w:r>
        <w:rPr>
          <w:b/>
          <w:bCs/>
          <w:color w:val="333333"/>
          <w:sz w:val="21"/>
          <w:szCs w:val="21"/>
        </w:rPr>
        <w:t xml:space="preserve">A.2  Proposed "Viewing as" labels — subject to Decision 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Context</w:t>
            </w:r>
          </w:p>
        </w:tc>
        <w:tc>
          <w:tcPr>
            <w:tcW w:type="dxa" w:w="320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Currently displayed</w:t>
            </w:r>
          </w:p>
        </w:tc>
        <w:tc>
          <w:tcPr>
            <w:tcW w:type="dxa" w:w="3760"/>
            <w:tcBorders>
              <w:top w:val="single" w:color="BFBFBF" w:sz="1"/>
              <w:left w:val="single" w:color="BFBFBF" w:sz="1"/>
              <w:bottom w:val="single" w:color="BFBFBF" w:sz="1"/>
              <w:right w:val="single" w:color="BFBFBF" w:sz="1"/>
            </w:tcBorders>
            <w:shd w:fill="1F3864" w:val="clear"/>
            <w:tcMar>
              <w:top w:type="dxa" w:w="80"/>
              <w:left w:type="dxa" w:w="110"/>
              <w:bottom w:type="dxa" w:w="80"/>
              <w:right w:type="dxa" w:w="110"/>
            </w:tcMar>
          </w:tcPr>
          <w:p>
            <w:pPr>
              <w:spacing w:after="0" w:before="0"/>
            </w:pPr>
            <w:r>
              <w:rPr>
                <w:b/>
                <w:bCs/>
                <w:color w:val="FFFFFF"/>
                <w:sz w:val="18"/>
                <w:szCs w:val="18"/>
              </w:rPr>
              <w:t xml:space="preserve">Proposed</w:t>
            </w:r>
          </w:p>
        </w:tc>
      </w:tr>
      <w:t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National</w:t>
            </w:r>
          </w:p>
        </w:tc>
        <w:tc>
          <w:tcPr>
            <w:tcW w:type="dxa" w:w="3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8590</w:t>
            </w:r>
          </w:p>
        </w:tc>
        <w:tc>
          <w:tcPr>
            <w:tcW w:type="dxa" w:w="37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Viewing as: National</w:t>
            </w:r>
          </w:p>
        </w:tc>
      </w:tr>
      <w:tr>
        <w:tc>
          <w:tcPr>
            <w:tcW w:type="dxa" w:w="2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Area</w:t>
            </w:r>
          </w:p>
        </w:tc>
        <w:tc>
          <w:tcPr>
            <w:tcW w:type="dxa" w:w="32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25</w:t>
            </w:r>
          </w:p>
        </w:tc>
        <w:tc>
          <w:tcPr>
            <w:tcW w:type="dxa" w:w="37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Viewing as: Area 25</w:t>
            </w:r>
          </w:p>
        </w:tc>
      </w:tr>
      <w:t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Territory</w:t>
            </w:r>
          </w:p>
        </w:tc>
        <w:tc>
          <w:tcPr>
            <w:tcW w:type="dxa" w:w="3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2501</w:t>
            </w:r>
          </w:p>
        </w:tc>
        <w:tc>
          <w:tcPr>
            <w:tcW w:type="dxa" w:w="37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Viewing as: Territory 2501</w:t>
            </w:r>
          </w:p>
        </w:tc>
      </w:tr>
      <w:tr>
        <w:tc>
          <w:tcPr>
            <w:tcW w:type="dxa" w:w="24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Group</w:t>
            </w:r>
          </w:p>
        </w:tc>
        <w:tc>
          <w:tcPr>
            <w:tcW w:type="dxa" w:w="320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GROUP DESIGNATION (22163700)</w:t>
            </w:r>
          </w:p>
        </w:tc>
        <w:tc>
          <w:tcPr>
            <w:tcW w:type="dxa" w:w="3760"/>
            <w:tcBorders>
              <w:top w:val="single" w:color="BFBFBF" w:sz="1"/>
              <w:left w:val="single" w:color="BFBFBF" w:sz="1"/>
              <w:bottom w:val="single" w:color="BFBFBF" w:sz="1"/>
              <w:right w:val="single" w:color="BFBFBF" w:sz="1"/>
            </w:tcBorders>
            <w:shd w:fill="F2F5F9" w:val="clear"/>
            <w:tcMar>
              <w:top w:type="dxa" w:w="80"/>
              <w:left w:type="dxa" w:w="110"/>
              <w:bottom w:type="dxa" w:w="80"/>
              <w:right w:type="dxa" w:w="110"/>
            </w:tcMar>
          </w:tcPr>
          <w:p>
            <w:pPr>
              <w:spacing w:after="0" w:before="0"/>
            </w:pPr>
            <w:r>
              <w:rPr>
                <w:b w:val="false"/>
                <w:bCs w:val="false"/>
                <w:sz w:val="18"/>
                <w:szCs w:val="18"/>
              </w:rPr>
              <w:t xml:space="preserve">Viewing as: Group 251435</w:t>
            </w:r>
          </w:p>
        </w:tc>
      </w:tr>
      <w:tr>
        <w:tc>
          <w:tcPr>
            <w:tcW w:type="dxa" w:w="24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Officer</w:t>
            </w:r>
          </w:p>
        </w:tc>
        <w:tc>
          <w:tcPr>
            <w:tcW w:type="dxa" w:w="320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M. MILLER (23091708) — wrong name</w:t>
            </w:r>
          </w:p>
        </w:tc>
        <w:tc>
          <w:tcPr>
            <w:tcW w:type="dxa" w:w="3760"/>
            <w:tcBorders>
              <w:top w:val="single" w:color="BFBFBF" w:sz="1"/>
              <w:left w:val="single" w:color="BFBFBF" w:sz="1"/>
              <w:bottom w:val="single" w:color="BFBFBF" w:sz="1"/>
              <w:right w:val="single" w:color="BFBFBF" w:sz="1"/>
            </w:tcBorders>
            <w:tcMar>
              <w:top w:type="dxa" w:w="80"/>
              <w:left w:type="dxa" w:w="110"/>
              <w:bottom w:type="dxa" w:w="80"/>
              <w:right w:type="dxa" w:w="110"/>
            </w:tcMar>
          </w:tcPr>
          <w:p>
            <w:pPr>
              <w:spacing w:after="0" w:before="0"/>
            </w:pPr>
            <w:r>
              <w:rPr>
                <w:b w:val="false"/>
                <w:bCs w:val="false"/>
                <w:sz w:val="18"/>
                <w:szCs w:val="18"/>
              </w:rPr>
              <w:t xml:space="preserve">Viewing as: M. Miller (23091708)</w:t>
            </w:r>
          </w:p>
        </w:tc>
      </w:tr>
    </w:tbl>
    <w:p>
      <w:pPr>
        <w:spacing w:after="120"/>
      </w:pPr>
      <w:r>
        <w:t xml:space="preserve"/>
      </w:r>
    </w:p>
    <w:p>
      <w:pPr>
        <w:spacing w:after="120" w:line="276"/>
      </w:pPr>
      <w:r>
        <w:rPr>
          <w:b w:val="false"/>
          <w:bCs w:val="false"/>
          <w:i w:val="false"/>
          <w:iCs w:val="false"/>
          <w:sz w:val="20"/>
          <w:szCs w:val="20"/>
        </w:rPr>
        <w:t xml:space="preserve">Only the National label is explicitly evidenced in the client's report. The remainder are development's extrapolation and require confirmation.</w:t>
      </w:r>
    </w:p>
    <w:p>
      <w:pPr>
        <w:spacing w:after="240"/>
      </w:pPr>
      <w:r>
        <w:t xml:space="preserve"/>
      </w:r>
    </w:p>
    <w:p>
      <w:pPr>
        <w:pStyle w:val="Heading1"/>
        <w:pBdr>
          <w:bottom w:val="single" w:color="1F3864" w:sz="6" w:space="4"/>
        </w:pBdr>
        <w:spacing w:after="160" w:before="360"/>
      </w:pPr>
      <w:r>
        <w:rPr>
          <w:b/>
          <w:bCs/>
          <w:color w:val="1F3864"/>
          <w:sz w:val="30"/>
          <w:szCs w:val="30"/>
        </w:rPr>
        <w:t xml:space="preserve">Appendix B  —  Legacy Acceptance Baseline</w:t>
      </w:r>
    </w:p>
    <w:p>
      <w:pPr>
        <w:spacing w:after="120" w:line="276"/>
      </w:pPr>
      <w:r>
        <w:rPr>
          <w:b w:val="false"/>
          <w:bCs w:val="false"/>
          <w:i w:val="false"/>
          <w:iCs w:val="false"/>
          <w:sz w:val="20"/>
          <w:szCs w:val="20"/>
        </w:rPr>
        <w:t xml:space="preserve">Supplied by the client within finding 6. This is the legacy ENTITY Change Access output for group 261314 and constitutes the acceptance criteria for the officer list. Remediation of RC-1 and RC-3 should be validated against it before returning to the client.</w:t>
      </w:r>
    </w:p>
    <w:p>
      <w:pPr>
        <w:shd w:fill="F4F4F4" w:val="clear"/>
        <w:spacing w:after="60" w:before="60"/>
        <w:ind w:left="280"/>
      </w:pPr>
      <w:r>
        <w:rPr>
          <w:rFonts w:ascii="Consolas" w:cs="Consolas" w:eastAsia="Consolas" w:hAnsi="Consolas"/>
          <w:sz w:val="17"/>
          <w:szCs w:val="17"/>
        </w:rPr>
        <w:t xml:space="preserve">SELF-&gt;   85906269  NICOLE C PRIEST</w:t>
      </w:r>
    </w:p>
    <w:p>
      <w:pPr>
        <w:shd w:fill="F4F4F4" w:val="clear"/>
        <w:spacing w:after="60" w:before="60"/>
        <w:ind w:left="280"/>
      </w:pPr>
      <w:r>
        <w:rPr>
          <w:rFonts w:ascii="Consolas" w:cs="Consolas" w:eastAsia="Consolas" w:hAnsi="Consolas"/>
          <w:sz w:val="17"/>
          <w:szCs w:val="17"/>
        </w:rPr>
        <w:t xml:space="preserve">TERR-&gt;   26130000  TERRITORY TOTALS</w:t>
      </w:r>
    </w:p>
    <w:p>
      <w:pPr>
        <w:shd w:fill="F4F4F4" w:val="clear"/>
        <w:spacing w:after="60" w:before="60"/>
        <w:ind w:left="280"/>
      </w:pPr>
      <w:r>
        <w:rPr>
          <w:rFonts w:ascii="Consolas" w:cs="Consolas" w:eastAsia="Consolas" w:hAnsi="Consolas"/>
          <w:sz w:val="17"/>
          <w:szCs w:val="17"/>
        </w:rPr>
        <w:t xml:space="preserve">GROUP-&gt;  26131400  GROUP TOTALS</w:t>
      </w:r>
    </w:p>
    <w:p>
      <w:pPr>
        <w:shd w:fill="F4F4F4" w:val="clear"/>
        <w:spacing w:after="60" w:before="60"/>
        <w:ind w:left="280"/>
      </w:pPr>
      <w:r>
        <w:rPr>
          <w:rFonts w:ascii="Consolas" w:cs="Consolas" w:eastAsia="Consolas" w:hAnsi="Consolas"/>
          <w:sz w:val="17"/>
          <w:szCs w:val="17"/>
        </w:rPr>
        <w:t xml:space="preserve">         26131410  R. GUNN          AGM</w:t>
      </w:r>
    </w:p>
    <w:p>
      <w:pPr>
        <w:shd w:fill="F4F4F4" w:val="clear"/>
        <w:spacing w:after="60" w:before="60"/>
        <w:ind w:left="280"/>
      </w:pPr>
      <w:r>
        <w:rPr>
          <w:rFonts w:ascii="Consolas" w:cs="Consolas" w:eastAsia="Consolas" w:hAnsi="Consolas"/>
          <w:sz w:val="17"/>
          <w:szCs w:val="17"/>
        </w:rPr>
        <w:t xml:space="preserve">         26131413  A. MARELLI</w:t>
      </w:r>
    </w:p>
    <w:p>
      <w:pPr>
        <w:shd w:fill="F4F4F4" w:val="clear"/>
        <w:spacing w:after="60" w:before="60"/>
        <w:ind w:left="280"/>
      </w:pPr>
      <w:r>
        <w:rPr>
          <w:rFonts w:ascii="Consolas" w:cs="Consolas" w:eastAsia="Consolas" w:hAnsi="Consolas"/>
          <w:sz w:val="17"/>
          <w:szCs w:val="17"/>
        </w:rPr>
        <w:t xml:space="preserve">         26131421  C. BROWN JR</w:t>
      </w:r>
    </w:p>
    <w:p>
      <w:pPr>
        <w:shd w:fill="F4F4F4" w:val="clear"/>
        <w:spacing w:after="60" w:before="60"/>
        <w:ind w:left="280"/>
      </w:pPr>
      <w:r>
        <w:rPr>
          <w:rFonts w:ascii="Consolas" w:cs="Consolas" w:eastAsia="Consolas" w:hAnsi="Consolas"/>
          <w:sz w:val="17"/>
          <w:szCs w:val="17"/>
        </w:rPr>
        <w:t xml:space="preserve">         26131422  C. JAMES</w:t>
      </w:r>
    </w:p>
    <w:p>
      <w:pPr>
        <w:spacing w:after="140"/>
      </w:pPr>
      <w:r>
        <w:t xml:space="preserve"/>
      </w:r>
    </w:p>
    <w:p>
      <w:pPr>
        <w:pStyle w:val="Heading3"/>
        <w:spacing w:after="90" w:before="200"/>
      </w:pPr>
      <w:r>
        <w:rPr>
          <w:b/>
          <w:bCs/>
          <w:color w:val="333333"/>
          <w:sz w:val="21"/>
          <w:szCs w:val="21"/>
        </w:rPr>
        <w:t xml:space="preserve">Observations on the legacy structure</w:t>
      </w:r>
    </w:p>
    <w:p>
      <w:pPr>
        <w:pStyle w:val="ListParagraph"/>
        <w:numPr>
          <w:ilvl w:val="0"/>
          <w:numId w:val="2"/>
        </w:numPr>
        <w:spacing w:after="70" w:line="276"/>
      </w:pPr>
      <w:r>
        <w:rPr>
          <w:sz w:val="20"/>
          <w:szCs w:val="20"/>
        </w:rPr>
        <w:t xml:space="preserve">Four named revenue officers. This matches the client's stated expectation of approximately four active employees for the tested selection.</w:t>
      </w:r>
    </w:p>
    <w:p>
      <w:pPr>
        <w:pStyle w:val="ListParagraph"/>
        <w:numPr>
          <w:ilvl w:val="0"/>
          <w:numId w:val="2"/>
        </w:numPr>
        <w:spacing w:after="70" w:line="276"/>
      </w:pPr>
      <w:r>
        <w:rPr>
          <w:sz w:val="20"/>
          <w:szCs w:val="20"/>
        </w:rPr>
        <w:t xml:space="preserve">A SELF row identifies the requesting user, followed by rollup nodes for territory and group totals, then individuals.</w:t>
      </w:r>
    </w:p>
    <w:p>
      <w:pPr>
        <w:pStyle w:val="ListParagraph"/>
        <w:numPr>
          <w:ilvl w:val="0"/>
          <w:numId w:val="2"/>
        </w:numPr>
        <w:spacing w:after="70" w:line="276"/>
      </w:pPr>
      <w:r>
        <w:rPr>
          <w:sz w:val="20"/>
          <w:szCs w:val="20"/>
        </w:rPr>
        <w:t xml:space="preserve">Acting Group Manager is marked inline against the individual rather than carried in a separate control. This is directly relevant to Decision D1 and is worth putting in front of the client as a precedent.</w:t>
      </w:r>
    </w:p>
    <w:p>
      <w:pPr>
        <w:pStyle w:val="ListParagraph"/>
        <w:numPr>
          <w:ilvl w:val="0"/>
          <w:numId w:val="2"/>
        </w:numPr>
        <w:spacing w:after="70" w:line="276"/>
      </w:pPr>
      <w:r>
        <w:rPr>
          <w:sz w:val="20"/>
          <w:szCs w:val="20"/>
        </w:rPr>
        <w:t xml:space="preserve">No structural placeholder rows, no disbanded occupants and no duplicates appear.</w:t>
      </w:r>
    </w:p>
    <w:p>
      <w:pPr>
        <w:pStyle w:val="ListParagraph"/>
        <w:numPr>
          <w:ilvl w:val="0"/>
          <w:numId w:val="2"/>
        </w:numPr>
        <w:spacing w:after="70" w:line="276"/>
      </w:pPr>
      <w:r>
        <w:rPr>
          <w:sz w:val="20"/>
          <w:szCs w:val="20"/>
        </w:rPr>
        <w:t xml:space="preserve">Ordering is numerical by assignment number, consistent with the client's request in finding 7.</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100"/>
      <w:jc w:val="right"/>
    </w:pPr>
    <w:r>
      <w:rPr>
        <w:color w:val="808080"/>
        <w:sz w:val="16"/>
        <w:szCs w:val="16"/>
      </w:rPr>
      <w:t xml:space="preserve">ENTITY RBAC — Client Findings Analysis and Remediation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ENTITY RBAC — Client Findings Analysis and Developer Remediation Plan</dc:title>
  <dc:creator>ENTITY Development</dc:creator>
  <dc:description>Analysis of MTEST Role-Based Access, Change Role and Change Access findings</dc:description>
  <cp:lastModifiedBy>Un-named</cp:lastModifiedBy>
  <cp:revision>1</cp:revision>
  <dcterms:created xsi:type="dcterms:W3CDTF">2026-08-18T15:21:16.088Z</dcterms:created>
  <dcterms:modified xsi:type="dcterms:W3CDTF">2026-08-18T15:21:16.088Z</dcterms:modified>
</cp:coreProperties>
</file>

<file path=docProps/custom.xml><?xml version="1.0" encoding="utf-8"?>
<Properties xmlns="http://schemas.openxmlformats.org/officeDocument/2006/custom-properties" xmlns:vt="http://schemas.openxmlformats.org/officeDocument/2006/docPropsVTypes"/>
</file>