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2579C">
      <w:pPr>
        <w:spacing w:line="560" w:lineRule="atLeast"/>
        <w:jc w:val="center"/>
        <w:rPr>
          <w:rFonts w:hint="eastAsia" w:ascii="方正小标宋简体" w:hAnsi="ˎ̥" w:eastAsia="方正小标宋简体" w:cs="宋体"/>
          <w:bCs/>
          <w:kern w:val="0"/>
          <w:sz w:val="32"/>
          <w:szCs w:val="32"/>
          <w:lang w:eastAsia="zh-CN"/>
        </w:rPr>
      </w:pPr>
      <w:r>
        <w:rPr>
          <w:rFonts w:hint="eastAsia" w:ascii="方正小标宋简体" w:hAnsi="ˎ̥" w:eastAsia="方正小标宋简体" w:cs="宋体"/>
          <w:bCs/>
          <w:kern w:val="0"/>
          <w:sz w:val="32"/>
          <w:szCs w:val="32"/>
        </w:rPr>
        <w:t>“计算思维”类作品创作说明</w:t>
      </w:r>
      <w:r>
        <w:rPr>
          <w:rFonts w:hint="eastAsia" w:ascii="方正小标宋简体" w:hAnsi="ˎ̥" w:eastAsia="方正小标宋简体" w:cs="宋体"/>
          <w:bCs/>
          <w:kern w:val="0"/>
          <w:sz w:val="32"/>
          <w:szCs w:val="32"/>
          <w:lang w:eastAsia="zh-CN"/>
        </w:rPr>
        <w:t>（中小学组）</w:t>
      </w:r>
    </w:p>
    <w:tbl>
      <w:tblPr>
        <w:tblStyle w:val="3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7112"/>
      </w:tblGrid>
      <w:tr w14:paraId="32627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9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E7E63">
            <w:pPr>
              <w:adjustRightInd w:val="0"/>
              <w:snapToGrid w:val="0"/>
              <w:spacing w:line="560" w:lineRule="atLeast"/>
              <w:jc w:val="center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所属类别</w:t>
            </w:r>
          </w:p>
        </w:tc>
        <w:tc>
          <w:tcPr>
            <w:tcW w:w="8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F574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ascii="仿宋_GB2312" w:eastAsia="仿宋_GB2312"/>
                <w:bCs/>
                <w:szCs w:val="21"/>
              </w:rPr>
              <w:t xml:space="preserve">□创新开发 </w:t>
            </w:r>
            <w:r>
              <w:rPr>
                <w:rFonts w:hint="eastAsia" w:ascii="仿宋_GB2312" w:eastAsia="仿宋_GB2312"/>
                <w:bCs/>
                <w:szCs w:val="21"/>
              </w:rPr>
              <w:sym w:font="Wingdings 2" w:char="0052"/>
            </w:r>
            <w:r>
              <w:rPr>
                <w:rFonts w:hint="eastAsia" w:ascii="仿宋_GB2312" w:eastAsia="仿宋_GB2312"/>
                <w:bCs/>
                <w:szCs w:val="21"/>
              </w:rPr>
              <w:t>创意编程 □创意编程专项</w:t>
            </w:r>
          </w:p>
        </w:tc>
      </w:tr>
      <w:tr w14:paraId="17EC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CB76E5">
            <w:pPr>
              <w:adjustRightInd w:val="0"/>
              <w:snapToGrid w:val="0"/>
              <w:spacing w:line="560" w:lineRule="atLeast"/>
              <w:jc w:val="center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作品名称</w:t>
            </w:r>
          </w:p>
        </w:tc>
        <w:tc>
          <w:tcPr>
            <w:tcW w:w="8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C7AC8">
            <w:pPr>
              <w:adjustRightInd w:val="0"/>
              <w:snapToGrid w:val="0"/>
              <w:spacing w:line="560" w:lineRule="atLeast"/>
              <w:jc w:val="center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Python × The Return</w:t>
            </w:r>
          </w:p>
        </w:tc>
      </w:tr>
      <w:tr w14:paraId="40A3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21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6767C9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 w:val="10"/>
                <w:szCs w:val="10"/>
              </w:rPr>
            </w:pPr>
            <w:r>
              <w:rPr>
                <w:rFonts w:eastAsia="仿宋_GB2312"/>
                <w:szCs w:val="21"/>
              </w:rPr>
              <w:t>创作思想（创作背景、目的和意义）</w:t>
            </w:r>
            <w:r>
              <w:rPr>
                <w:rFonts w:hint="eastAsia" w:eastAsia="仿宋_GB2312"/>
                <w:szCs w:val="21"/>
              </w:rPr>
              <w:t>本作品以“Python × The Return（回归）”为核心主题，针对目前常见打字训练过于单调的痛点、将音游与编程学习巧妙结合，将音游的节奏互动玩法与打字实操训练创新融合，打造兼具趣味性与学习价值的创意作品。作品以“The Return（回归）”为精神内核，既呼应编程学习中过程的本质、又夯实基础的核心要求，更寄寓着在编程探索之路上，始终回望初心、找到独属于自己的编程意义的深层内涵，让使用者在轻松的节奏互动中感受代码魅力，消解编程学习的畏难情绪。</w:t>
            </w:r>
          </w:p>
        </w:tc>
      </w:tr>
      <w:tr w14:paraId="58F7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3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C6BE8E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创作过程（运用了哪些技术或技巧完成主题创作，哪些是得意之处）</w:t>
            </w:r>
            <w:r>
              <w:rPr>
                <w:rFonts w:hint="eastAsia" w:eastAsia="仿宋_GB2312"/>
                <w:szCs w:val="21"/>
              </w:rPr>
              <w:t>1. 颠覆性的「音游+打字训练」玩法融合</w:t>
            </w:r>
          </w:p>
          <w:p w14:paraId="535D521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本作品以“Python × The Return（回归）”为核心主题，针对目前常见打字训练过于单调的痛点、将音游与编程学习巧妙结合，将音游的节奏互动玩法与打字实操训练创新融合，打造兼具趣味性与学习价值的创意作品。</w:t>
            </w:r>
          </w:p>
          <w:p w14:paraId="0709766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完整的游戏经济闭环设计</w:t>
            </w:r>
          </w:p>
          <w:p w14:paraId="75355EA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打造了「排位竞技+关卡→积分产出→抽卡玩法→玩家互助市场」的完整积分生态，形成了产出-消耗-流通的正向循环：</w:t>
            </w:r>
          </w:p>
          <w:p w14:paraId="16B3FA8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产出端：排位竞技、关卡通关、邮件奖励稳定产出积分</w:t>
            </w:r>
          </w:p>
          <w:p w14:paraId="3FAA4FDE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消耗端：单发/十连抽卡设计，用随机收益机制抓住玩家心理，同时完成积分回收</w:t>
            </w:r>
          </w:p>
          <w:p w14:paraId="09F1FFA5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流通端：玩家互助市场让积分具备了实际使用价值，高手可以用技术换积分，新手可以用积分解决学习难题，彻底把游戏从单人玩法拓展成了多人协作的社区生态，完美实现了「互惠互利、互帮互助」的核心主题。</w:t>
            </w:r>
          </w:p>
          <w:p w14:paraId="562F8A99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锻炼玩家的动手能力</w:t>
            </w:r>
          </w:p>
          <w:p w14:paraId="4876447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作品采用本项目采用 客户端-服务端架构（C/S 架构）：玩家可通过python × The Return提供的服务器接口游玩，也可采用项目中的Docker容器和后端kip通用API接口搭建个人服务器进行游玩</w:t>
            </w:r>
          </w:p>
          <w:p w14:paraId="310BE1E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二、架构设计巧思：轻量高效的生产级分布式架构</w:t>
            </w:r>
          </w:p>
          <w:p w14:paraId="49C20AB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采用极简的技术栈，完美的解决目前市面上大多数传统游戏引擎的庞大储存，结合HTML，TypeScript，CSS3，Vue便于解读，和利于玩家二创开发，代码的可扩展性和可维护性极强。</w:t>
            </w:r>
          </w:p>
          <w:p w14:paraId="7087C18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独创「Flask+系统内置浏览器」的轻量客户端方案</w:t>
            </w:r>
          </w:p>
          <w:p w14:paraId="31ACEB0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弃用了笨重的Electron、Qt等客户端框架，采用用户内置浏览器，打包后体积极小，启动即用</w:t>
            </w:r>
          </w:p>
          <w:p w14:paraId="1B59EE5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启动游戏Web本地服务后，自动调用 webbrowser.open 打开系统内置浏览器，用户完全无感，和原生客户端体验一致</w:t>
            </w:r>
          </w:p>
          <w:p w14:paraId="138A67D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天然复用Web前端的Web生态，玩法迭代极快，开发效率和迭代成本碾压传统客户端开发。</w:t>
            </w:r>
          </w:p>
          <w:p w14:paraId="2D51843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我们采用资源与逻辑分离架构，通过AssetBundle/脚本热更实现增量差分更新，支持灰度推送、版本校验、断点续传、异常自动回滚，达成免商店审核、免重装、低流量损耗的高效迭代。</w:t>
            </w:r>
          </w:p>
          <w:p w14:paraId="07E874E9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完全解耦的三层架构，生产级可扩展性</w:t>
            </w:r>
          </w:p>
          <w:p w14:paraId="7646640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整套系统做了清晰的边界拆分，后续扩容、迭代、多端适配零障碍：</w:t>
            </w:r>
          </w:p>
          <w:p w14:paraId="2DA0193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接入层:app.py（Web客户端服务）+ ap.py（客户端市场客户端），只负责用户交互和请求转发，不耦合任何核心业务逻辑</w:t>
            </w:r>
          </w:p>
          <w:p w14:paraId="56CBA4C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核心服务层：kip.py 后端服务，所有核心逻辑（匹配、抽卡、结算、用户数据、市场、消息）全部收敛在这里，接口标准化，前后端完全解耦</w:t>
            </w:r>
          </w:p>
          <w:p w14:paraId="352506B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存储层：基于MySQL+SQLAlchemy ORM，数据模型清晰，同时适配Docker部署，完美解决「传统Linux难操作、Docker 部署更便捷」的需求，一套Docker指令瞬间生产</w:t>
            </w:r>
          </w:p>
          <w:p w14:paraId="5E14A28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音游专属的低延迟优化：自研QUIC协议传输体系</w:t>
            </w:r>
          </w:p>
          <w:p w14:paraId="0F8870D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针对音游对延迟极度敏感的特性，我们团队针对延迟做了精细深耕优化，音游的手感，差几毫秒就是天壤之别。我们在延迟优化上投入的精力与打磨粒度，早已超出普通项目的标准，这也是只有真正深耕音游的团队，才愿意、也才有能力做到的极致。</w:t>
            </w:r>
          </w:p>
          <w:p w14:paraId="567602B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弃用传统TCP协议，我们团队基于 aioquic 自研了QUIC协议,完美的打破了客户端和服务端延迟壁垒，解决了TCP握手延迟高、丢包重传导致的节奏卡顿问题，完美适配音游的实时节奏判定需求</w:t>
            </w:r>
          </w:p>
          <w:p w14:paraId="5D388E3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实现了延迟自动计算,周期广播同步机制,Auto Reconnection(自动重连)，Automatic Reconnect(断线重连),给音游的延迟补偿提供了强大的数据支撑，是专业商业音游才会做的深度优化。</w:t>
            </w:r>
          </w:p>
          <w:p w14:paraId="1CE71EA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三、金融级安全加密体系：全链路数据防护</w:t>
            </w:r>
          </w:p>
          <w:p w14:paraId="1399504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双加密算法协同的全链路数据加密</w:t>
            </w:r>
          </w:p>
          <w:p w14:paraId="3A915B49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采用「AES对称加密+RSA非对称加密」的组合方案，不同场景用最优的加密策略。</w:t>
            </w:r>
          </w:p>
          <w:p w14:paraId="33C4D8F5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AES-256-GCM对称加密：用于玩家ID、匹配队列等高频敏感数据的加解密。代码里严格遵循安全规范：12位随机IV、GCM带完整性校验（防篡改）、256位固定密钥，完全杜绝了ECB模式等常见的安全隐患，符合NIST国际安全标准。</w:t>
            </w:r>
          </w:p>
          <w:p w14:paraId="293F4C7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RSA-2048非对称加密：用于抽卡、结算、玩家身份、私信消息等核心业务数据。严格遵循「客户端公钥加密，服务端私钥解密」的设计，哪怕请求数据在传输中被截获，没有服务端私钥也无法解密，从根本上杜绝了接口刷分、伪造请求、作弊改分的风险。</w:t>
            </w:r>
          </w:p>
          <w:p w14:paraId="3814DBC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硬件级身份绑定，防作弊能力拉满</w:t>
            </w:r>
          </w:p>
          <w:p w14:paraId="3321BBC5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基于HID键盘设备的硬件ID识别，获取键盘的产品名称和发布号，生成玩家唯一ID绑定，无论如何走到哪键盘一叉随心登录。</w:t>
            </w:r>
          </w:p>
          <w:p w14:paraId="41599F3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所有核心接口（抽卡、结算、匹配、奖励领取）都强制做身份解密校验，先解密请求中的加密ID，验证玩家身份合法后才执行业务逻辑，非法请求直接拦截，完全杜绝了伪造身份的作弊行为。</w:t>
            </w:r>
          </w:p>
          <w:p w14:paraId="2479EBB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分级容错的消息加密体系，兼顾安全与可用性</w:t>
            </w:r>
          </w:p>
          <w:p w14:paraId="469FDA03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针对玩家私信/邮件系统，做了非常成熟的容错设计，不是单纯追求极致安全，而是兼顾了服务可用性：</w:t>
            </w:r>
          </w:p>
          <w:p w14:paraId="2002C7D9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主路径采用RSA非对称加密消息内容，保证通信隐私</w:t>
            </w:r>
          </w:p>
          <w:p w14:paraId="6B4DC0F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设计了降级加密容错机制：如果RSA加密异常，自动降级为凯撒移位加密，哪怕加密模块出问题，消息功能也不会完全瘫痪，避免了核心功能不可用的故障</w:t>
            </w:r>
          </w:p>
          <w:p w14:paraId="7A00488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服务端采用邮件式自增序号存储，User_email+数字 的键名设计，按时间戳倒序排序，消息不会丢失、不会覆盖，完整保留玩家沟通记录，完美适配互助市场的业务需求。</w:t>
            </w:r>
          </w:p>
          <w:p w14:paraId="5EEB1D9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4. 全链路安全兜底设计</w:t>
            </w:r>
          </w:p>
          <w:p w14:paraId="63D1D6C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所有接口都做了完整的异常捕获，错误日志仅打印在服务端，返回给前端的是脱敏后的错误提示，不会泄露代码逻辑、服务器路径等敏感信息</w:t>
            </w:r>
          </w:p>
          <w:p w14:paraId="39B7D57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文件上传接口做了严格的格式校验、路径安全处理，杜绝了目录穿越、恶意文件上传的漏洞</w:t>
            </w:r>
          </w:p>
          <w:p w14:paraId="56AEA8D3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积分操作全部在数据库事务中执行，异常自动回滚，完全杜绝了积分扣减不生效、奖励重复领取等资损问题。</w:t>
            </w:r>
          </w:p>
          <w:p w14:paraId="09ACED7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四、商业级工程化细节：生产级代码质量，处处是亮点</w:t>
            </w:r>
          </w:p>
          <w:p w14:paraId="06F2850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整套代码完全不是业余demo的写法，而是遵循了商业项目的工程化规范，细节拉满，可维护性和稳定性极强。</w:t>
            </w:r>
          </w:p>
          <w:p w14:paraId="3BF4DF6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生产级玩家匹配与排位系统</w:t>
            </w:r>
          </w:p>
          <w:p w14:paraId="101D413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用线程锁 waiting_players_lock 保护待匹配队列，彻底解决了多线程并发读写的竞态问题，不会出现重复匹配、匹配错乱的bug。</w:t>
            </w:r>
          </w:p>
          <w:p w14:paraId="2667758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采用ThreadPoolExecutor（线程池），和WebSocket（长连接）,保护服务器不必要的开销,有效应对高并发，和大流量的流量冲击。</w:t>
            </w:r>
          </w:p>
          <w:p w14:paraId="0115EF8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后台常驻超时清理线程，自动清理无响应的等待玩家，不会出现无效玩家占用队列的问题</w:t>
            </w:r>
          </w:p>
          <w:p w14:paraId="76DB782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匹配结果基于分布式强一致性协议，生成全局唯一的对局元数据与房间拓扑信息，确保同组玩家获取完全一致的对局视图、关卡配置与接入地址，实现对局状态的原子性生效与最终一致性保障。</w:t>
            </w:r>
          </w:p>
          <w:p w14:paraId="0898EA4E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支持前端轮询查询匹配状态，完美适配Web端异步交互，用户体验丝滑。</w:t>
            </w:r>
          </w:p>
          <w:p w14:paraId="6237727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完善的客户端自动更新系统</w:t>
            </w:r>
          </w:p>
          <w:p w14:paraId="5FA7CBC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实现了版本检测、更新包下载、解压替换、备份回滚的全流程自动化，彻底解决了桌面客户端迭代难的问题：</w:t>
            </w:r>
          </w:p>
          <w:p w14:paraId="3DECD4D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客户端启动时自动对比服务端最新版本，有更新则自动触发升级流程</w:t>
            </w:r>
          </w:p>
          <w:p w14:paraId="5AE4600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更新前自动备份原静态文件，更新失败自动回滚，不会出现更新导致客户端损坏的问题</w:t>
            </w:r>
          </w:p>
          <w:p w14:paraId="67687D13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支持增量更新判断，只下载缺失的邮件资源，不会重复下载全量文件，节省带宽和用户等待时间。</w:t>
            </w:r>
          </w:p>
          <w:p w14:paraId="03EC1E1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专业的媒体与文件处理能力</w:t>
            </w:r>
          </w:p>
          <w:p w14:paraId="510B5A5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图片上传接口自动完成标准化处理：统一转为400×400尺寸、40%锐化优化、WebP格式压缩，既保证了头像清晰度，又极大压缩了文件体积，节省服务器存储空间</w:t>
            </w:r>
          </w:p>
          <w:p w14:paraId="5DF26AA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支持文件夹批量压缩上传，自动打包为ZIP格式，完美适配玩家上传代码工程，完美的解决市场互帮互助的需求。</w:t>
            </w:r>
          </w:p>
          <w:p w14:paraId="0A6DA52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4. 全链路日志埋点与可观测性</w:t>
            </w:r>
          </w:p>
          <w:p w14:paraId="571C8081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 w:val="10"/>
                <w:szCs w:val="10"/>
              </w:rPr>
            </w:pPr>
            <w:r>
              <w:rPr>
                <w:rFonts w:hint="eastAsia" w:eastAsia="仿宋_GB2312"/>
                <w:szCs w:val="21"/>
              </w:rPr>
              <w:t>每个接口、每个核心业务步骤都有详细的日志打印，包括请求参数、处理状态、错误详情，敏感信息（加密ID、密钥）做了截断脱敏处理，线上出问题可以快速定位根因，完全符合商业项目的运维规范。</w:t>
            </w:r>
          </w:p>
        </w:tc>
      </w:tr>
      <w:tr w14:paraId="21F6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4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7D60C2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 w:val="10"/>
                <w:szCs w:val="10"/>
              </w:rPr>
            </w:pPr>
            <w:r>
              <w:rPr>
                <w:rFonts w:eastAsia="仿宋_GB2312"/>
                <w:szCs w:val="21"/>
              </w:rPr>
              <w:t>原创部分</w:t>
            </w:r>
            <w:r>
              <w:rPr>
                <w:rFonts w:hint="eastAsia" w:eastAsia="仿宋_GB2312"/>
                <w:szCs w:val="21"/>
              </w:rPr>
              <w:t>a1.html,a2.html,a3.html,a4.html,a5.html,a7.html,a8.html,a9.html,a10.html,a11.html,a12.html,a13.html,a14.html,a15.html,a16.html,ac1.js,ac2.js,ac3.js,ac4.js,ac5.js,ac6.js,ac7.js,ac8.js,ac9.js,ac10.js,ac11.js,ac12.js,ac13.js,ac14.js,ac15.js,ac17.js,ac18.js,ac19.js,ac20.js,ac21.js,ac22.js,ax1.css,ax2.css,ax3.css,ax4.css,ax5.css,ax6.css,ax7.css,ax8.css,ax9.css,ax10.css,ax11.css,ax12.css,ax13.css,ax14.css,ax15.css,ax16.css,ax17.css,ax18.css,ax19.css,app.py,ap.py</w:t>
            </w:r>
          </w:p>
        </w:tc>
      </w:tr>
      <w:tr w14:paraId="29D0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7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19247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参考资源（参考或引用他人资源及出处）</w:t>
            </w:r>
            <w:r>
              <w:rPr>
                <w:rFonts w:hint="eastAsia" w:eastAsia="仿宋_GB2312"/>
                <w:szCs w:val="21"/>
              </w:rPr>
              <w:t>1. fill-range</w:t>
            </w:r>
          </w:p>
          <w:p w14:paraId="4DFFFA0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项目地址：https://github.com/jonschlinkert/fill-range</w:t>
            </w:r>
          </w:p>
          <w:p w14:paraId="45AF97D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版权所有：Copyright (c) 2014-present, Jon Schlinkert</w:t>
            </w:r>
          </w:p>
          <w:p w14:paraId="7E2105F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许可协议：MIT License</w:t>
            </w:r>
          </w:p>
          <w:p w14:paraId="65721DE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is-number</w:t>
            </w:r>
          </w:p>
          <w:p w14:paraId="3B22B095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项目地址：https://github.com/jonschlinkert/is-number</w:t>
            </w:r>
          </w:p>
          <w:p w14:paraId="2E51764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版权所有：Copyright (c) 2014-present, Jon Schlinkert</w:t>
            </w:r>
          </w:p>
          <w:p w14:paraId="4908DFD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许可协议：MIT License</w:t>
            </w:r>
          </w:p>
          <w:p w14:paraId="21215FD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to-regex-range</w:t>
            </w:r>
          </w:p>
          <w:p w14:paraId="5EF6AEC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项目地址：https://github.com/micromatch/to-regex-range</w:t>
            </w:r>
          </w:p>
          <w:p w14:paraId="6E6CF7C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版权所有：Copyright (c) 2015-present, Jon Schlinkert</w:t>
            </w:r>
          </w:p>
          <w:p w14:paraId="2E39266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许可协议：MIT License</w:t>
            </w:r>
          </w:p>
          <w:p w14:paraId="5941DE6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4. cssesc v3.0.0</w:t>
            </w:r>
          </w:p>
          <w:p w14:paraId="7A469A87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项目地址：https://mths.be/cssesc</w:t>
            </w:r>
          </w:p>
          <w:p w14:paraId="405EF14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版权所有：Copyright (c) Mathias Bynens</w:t>
            </w:r>
          </w:p>
          <w:p w14:paraId="49AE3E3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许可协议：MIT License</w:t>
            </w:r>
          </w:p>
          <w:p w14:paraId="4F13BC3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5. Vue.js 前端框架</w:t>
            </w:r>
          </w:p>
          <w:p w14:paraId="584C690E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项目地址：https://github.com/vuejs/vue</w:t>
            </w:r>
          </w:p>
          <w:p w14:paraId="6CB31847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版权所有：Copyright (c) 2013-present, Yuxi Evan You 及 Vue 核心开发团队</w:t>
            </w:r>
          </w:p>
          <w:p w14:paraId="34D9922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许可协议：MIT License</w:t>
            </w:r>
          </w:p>
          <w:p w14:paraId="4DF57C0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二、非原创素材引用声明</w:t>
            </w:r>
          </w:p>
          <w:p w14:paraId="7BA7734E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2.1 动画、动作与镜头素材</w:t>
            </w:r>
          </w:p>
          <w:p w14:paraId="050EDC2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《I Can't Wait》相关动作及镜头素材</w:t>
            </w:r>
          </w:p>
          <w:p w14:paraId="637DA70A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原作者：鬼阿w</w:t>
            </w:r>
          </w:p>
          <w:p w14:paraId="4B1998A9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01914DA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2.2 音乐与音频素材</w:t>
            </w:r>
          </w:p>
          <w:p w14:paraId="58887D6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《兔子洞（ラビットホール）》</w:t>
            </w:r>
          </w:p>
          <w:p w14:paraId="6ED2EA0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原作者：DECO*27</w:t>
            </w:r>
          </w:p>
          <w:p w14:paraId="71788A98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08B14BC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《EAT / EAT IT UP》</w:t>
            </w:r>
          </w:p>
          <w:p w14:paraId="3EAD567C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演唱：LE SSERAFIM</w:t>
            </w:r>
          </w:p>
          <w:p w14:paraId="6D62B0F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0BA15DA2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3. 《I Can't Wait》</w:t>
            </w:r>
          </w:p>
          <w:p w14:paraId="5F09A13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原作者：d0tc0mmie</w:t>
            </w:r>
          </w:p>
          <w:p w14:paraId="2104718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3FF024F6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2.3 角色与美术素材</w:t>
            </w:r>
          </w:p>
          <w:p w14:paraId="71DCEBFD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1. 《原神》角色相关素材（夜兰、叶瞬光、简、八重神子）</w:t>
            </w:r>
          </w:p>
          <w:p w14:paraId="260D623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版权所有：上海米哈游网络科技股份有限公司</w:t>
            </w:r>
          </w:p>
          <w:p w14:paraId="53BE609F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素材出处：出自米哈游开发的游戏《原神》官方内容</w:t>
            </w:r>
          </w:p>
          <w:p w14:paraId="0A063FD4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5B379C10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2. 体操服叶瞬光美术素材</w:t>
            </w:r>
          </w:p>
          <w:p w14:paraId="2AAC588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原作者：景澄</w:t>
            </w:r>
          </w:p>
          <w:p w14:paraId="48E4C821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使用说明：本素材仅用于本次非盈利性赛事作品的创作展示，不用于商业用途。</w:t>
            </w:r>
          </w:p>
          <w:p w14:paraId="1D013C61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 w:val="10"/>
                <w:szCs w:val="10"/>
              </w:rPr>
            </w:pPr>
            <w:r>
              <w:rPr>
                <w:rFonts w:hint="eastAsia" w:eastAsia="仿宋_GB2312"/>
                <w:szCs w:val="21"/>
              </w:rPr>
              <w:t>补充合规提醒</w:t>
            </w:r>
          </w:p>
        </w:tc>
      </w:tr>
      <w:tr w14:paraId="5576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3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65F06D">
            <w:pPr>
              <w:adjustRightInd w:val="0"/>
              <w:snapToGrid w:val="0"/>
              <w:spacing w:line="560" w:lineRule="atLeast"/>
              <w:jc w:val="left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制作</w:t>
            </w:r>
            <w:r>
              <w:rPr>
                <w:rFonts w:hint="eastAsia" w:eastAsia="仿宋_GB2312"/>
                <w:szCs w:val="21"/>
              </w:rPr>
              <w:t>使</w:t>
            </w:r>
            <w:r>
              <w:rPr>
                <w:rFonts w:eastAsia="仿宋_GB2312"/>
                <w:szCs w:val="21"/>
              </w:rPr>
              <w:t>用</w:t>
            </w:r>
            <w:r>
              <w:rPr>
                <w:rFonts w:hint="eastAsia" w:eastAsia="仿宋_GB2312"/>
                <w:szCs w:val="21"/>
              </w:rPr>
              <w:t>的</w:t>
            </w:r>
            <w:r>
              <w:rPr>
                <w:rFonts w:eastAsia="仿宋_GB2312"/>
                <w:szCs w:val="21"/>
              </w:rPr>
              <w:t>软件</w:t>
            </w:r>
            <w:r>
              <w:rPr>
                <w:rFonts w:hint="eastAsia" w:eastAsia="仿宋_GB2312"/>
                <w:szCs w:val="21"/>
              </w:rPr>
              <w:t>工具</w:t>
            </w:r>
            <w:r>
              <w:rPr>
                <w:rFonts w:eastAsia="仿宋_GB2312"/>
                <w:szCs w:val="21"/>
              </w:rPr>
              <w:t>及运行环境</w:t>
            </w:r>
          </w:p>
          <w:p w14:paraId="1C3CDE13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操作系统：Windows 11 专业版</w:t>
            </w:r>
          </w:p>
          <w:p w14:paraId="0784C32A">
            <w:pPr>
              <w:adjustRightInd w:val="0"/>
              <w:snapToGrid w:val="0"/>
              <w:spacing w:line="560" w:lineRule="atLeast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Docker Desktop</w:t>
            </w:r>
          </w:p>
          <w:p w14:paraId="665CE403">
            <w:pPr>
              <w:adjustRightInd w:val="0"/>
              <w:snapToGrid w:val="0"/>
              <w:spacing w:line="560" w:lineRule="atLeast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Oracle VirtualBox</w:t>
            </w:r>
          </w:p>
          <w:p w14:paraId="5814B330">
            <w:pPr>
              <w:adjustRightInd w:val="0"/>
              <w:snapToGrid w:val="0"/>
              <w:spacing w:line="560" w:lineRule="atLeast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Visual Studio Code</w:t>
            </w:r>
          </w:p>
          <w:p w14:paraId="7825E10A">
            <w:pPr>
              <w:adjustRightInd w:val="0"/>
              <w:snapToGrid w:val="0"/>
              <w:spacing w:line="560" w:lineRule="atLeast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Visual Studio</w:t>
            </w:r>
          </w:p>
          <w:p w14:paraId="44854FD8">
            <w:pPr>
              <w:adjustRightInd w:val="0"/>
              <w:snapToGrid w:val="0"/>
              <w:spacing w:line="560" w:lineRule="atLeast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Trae CN</w:t>
            </w:r>
          </w:p>
          <w:p w14:paraId="6042E24B">
            <w:pPr>
              <w:adjustRightInd w:val="0"/>
              <w:snapToGrid w:val="0"/>
              <w:spacing w:line="240" w:lineRule="auto"/>
              <w:jc w:val="left"/>
              <w:rPr>
                <w:rFonts w:hint="eastAsia"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Blender 4.5</w:t>
            </w:r>
          </w:p>
          <w:p w14:paraId="1DAA6691">
            <w:pPr>
              <w:adjustRightInd w:val="0"/>
              <w:snapToGrid w:val="0"/>
              <w:spacing w:line="240" w:lineRule="auto"/>
              <w:jc w:val="both"/>
              <w:rPr>
                <w:rFonts w:hint="default" w:eastAsia="仿宋_GB2312"/>
                <w:szCs w:val="21"/>
                <w:lang w:val="en-US" w:eastAsia="zh-CN"/>
              </w:rPr>
            </w:pPr>
            <w:r>
              <w:rPr>
                <w:rFonts w:hint="eastAsia" w:eastAsia="仿宋_GB2312"/>
                <w:szCs w:val="21"/>
              </w:rPr>
              <w:t>MySQL</w:t>
            </w:r>
          </w:p>
        </w:tc>
      </w:tr>
      <w:tr w14:paraId="5573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92449B">
            <w:pPr>
              <w:adjustRightInd w:val="0"/>
              <w:snapToGrid w:val="0"/>
              <w:spacing w:line="560" w:lineRule="atLeast"/>
              <w:rPr>
                <w:rFonts w:hint="eastAsia"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其他说明（需要特别说明的问题）</w:t>
            </w:r>
          </w:p>
        </w:tc>
      </w:tr>
      <w:tr w14:paraId="2A61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atLeast"/>
          <w:jc w:val="center"/>
        </w:trPr>
        <w:tc>
          <w:tcPr>
            <w:tcW w:w="96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709148">
            <w:pPr>
              <w:adjustRightInd w:val="0"/>
              <w:snapToGrid w:val="0"/>
              <w:spacing w:line="240" w:lineRule="auto"/>
              <w:jc w:val="left"/>
              <w:rPr>
                <w:rFonts w:eastAsia="仿宋_GB2312"/>
                <w:szCs w:val="21"/>
              </w:rPr>
            </w:pPr>
            <w:r>
              <w:rPr>
                <w:rFonts w:hint="eastAsia" w:eastAsia="仿宋_GB2312"/>
                <w:szCs w:val="21"/>
              </w:rPr>
              <w:t>文件中的python × The Return服务端启动，需要启有Docker Desktop windows和Linux都可以。</w:t>
            </w:r>
          </w:p>
        </w:tc>
      </w:tr>
    </w:tbl>
    <w:p w14:paraId="6499EC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ˎ̥">
    <w:altName w:val="华文中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F5FFE"/>
    <w:rsid w:val="57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39"/>
    <w:pPr>
      <w:tabs>
        <w:tab w:val="right" w:leader="dot" w:pos="8296"/>
      </w:tabs>
      <w:spacing w:line="360" w:lineRule="auto"/>
      <w:ind w:left="420" w:leftChars="200"/>
    </w:pPr>
    <w:rPr>
      <w:rFonts w:ascii="黑体" w:hAnsi="黑体" w:eastAsia="黑体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2026-02-24T13:19:00Z</dcterms:created>
  <dc:creator>         </dc:creator>
  <cp:lastModifiedBy>         </cp:lastModifiedBy>
  <dcterms:modified xsi:type="dcterms:W3CDTF">2026-02-24T13:49:44Z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000D99D890824A738188D0B1F469277D_11</vt:lpwstr>
  </property>
  <property fmtid="{D5CDD505-2E9C-101B-9397-08002B2CF9AE}" pid="4" name="KSOTemplateDocerSaveRecord">
    <vt:lpwstr>eyJoZGlkIjoiMWFkMjRmYmZjYzk5M2I2Y2QwMjY2MGJlMDdkZmYyZWUiLCJ1c2VySWQiOiIxNjgyOTc4ODU5In0=</vt:lpwstr>
  </property>
</Properties>
</file>