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{date</w:t>
      </w:r>
      <w:r>
        <w:rPr>
          <w:sz w:val="20"/>
          <w:szCs w:val="20"/>
        </w:rPr>
        <w:t>}</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w:t>
            </w:r>
            <w:proofErr w:type="spellStart"/>
            <w:r>
              <w:rPr>
                <w:b/>
                <w:bCs/>
                <w:color w:val="222222"/>
                <w:sz w:val="20"/>
                <w:szCs w:val="20"/>
                <w:highlight w:val="yellow"/>
                <w:shd w:val="clear" w:color="auto" w:fill="FFFFFF"/>
              </w:rPr>
              <w:t>corporationName</w:t>
            </w:r>
            <w:proofErr w:type="spellEnd"/>
            <w:r>
              <w:rPr>
                <w:b/>
                <w:bCs/>
                <w:color w:val="222222"/>
                <w:sz w:val="20"/>
                <w:szCs w:val="20"/>
                <w:highlight w:val="yellow"/>
                <w:shd w:val="clear" w:color="auto" w:fill="FFFFFF"/>
              </w:rPr>
              <w:t>}</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w:t>
            </w:r>
            <w:proofErr w:type="spellStart"/>
            <w:r>
              <w:rPr>
                <w:b/>
                <w:bCs/>
                <w:color w:val="222222"/>
                <w:sz w:val="20"/>
                <w:szCs w:val="20"/>
                <w:highlight w:val="yellow"/>
                <w:shd w:val="clear" w:color="auto" w:fill="FFFFFF"/>
              </w:rPr>
              <w:t>corporationAddress</w:t>
            </w:r>
            <w:proofErr w:type="spellEnd"/>
            <w:r>
              <w:rPr>
                <w:b/>
                <w:bCs/>
                <w:color w:val="222222"/>
                <w:sz w:val="20"/>
                <w:szCs w:val="20"/>
                <w:highlight w:val="yellow"/>
                <w:shd w:val="clear" w:color="auto" w:fill="FFFFFF"/>
              </w:rPr>
              <w:t>}</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w:t>
            </w:r>
            <w:proofErr w:type="spellStart"/>
            <w:r w:rsidR="009B7398">
              <w:rPr>
                <w:b/>
                <w:bCs/>
                <w:color w:val="222222"/>
                <w:sz w:val="20"/>
                <w:szCs w:val="20"/>
                <w:highlight w:val="yellow"/>
                <w:shd w:val="clear" w:color="auto" w:fill="FFFFFF"/>
              </w:rPr>
              <w:t>corporationRepresentativeName</w:t>
            </w:r>
            <w:proofErr w:type="spellEnd"/>
            <w:r w:rsidR="009B7398">
              <w:rPr>
                <w:b/>
                <w:bCs/>
                <w:color w:val="222222"/>
                <w:sz w:val="20"/>
                <w:szCs w:val="20"/>
                <w:highlight w:val="yellow"/>
                <w:shd w:val="clear" w:color="auto" w:fill="FFFFFF"/>
              </w:rPr>
              <w:t>}</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w:t>
      </w:r>
      <w:proofErr w:type="spellStart"/>
      <w:r w:rsidR="00B64A8F">
        <w:rPr>
          <w:sz w:val="20"/>
          <w:szCs w:val="20"/>
          <w:highlight w:val="yellow"/>
        </w:rPr>
        <w:t>targetCorporationName</w:t>
      </w:r>
      <w:proofErr w:type="spellEnd"/>
      <w:r w:rsidR="007F28D8">
        <w:rPr>
          <w:sz w:val="20"/>
          <w:szCs w:val="20"/>
        </w:rPr>
        <w:t>}</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B14F75" w:rsidRPr="005B6D83">
        <w:rPr>
          <w:sz w:val="20"/>
          <w:szCs w:val="20"/>
        </w:rPr>
        <w:t xml:space="preserve">. While we endeavour to minimize the amount of such fees that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w:t>
      </w:r>
      <w:proofErr w:type="spellStart"/>
      <w:r w:rsidR="009B7398">
        <w:rPr>
          <w:sz w:val="20"/>
          <w:szCs w:val="20"/>
          <w:highlight w:val="yellow"/>
        </w:rPr>
        <w:t>corporationName</w:t>
      </w:r>
      <w:proofErr w:type="spellEnd"/>
      <w:r w:rsidR="009B7398">
        <w:rPr>
          <w:sz w:val="20"/>
          <w:szCs w:val="20"/>
          <w:highlight w:val="yellow"/>
        </w:rPr>
        <w:t>}</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{date</w:t>
      </w:r>
      <w:r w:rsidR="009B7398">
        <w:rPr>
          <w:sz w:val="20"/>
          <w:szCs w:val="20"/>
        </w:rPr>
        <w:t>}</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w:t>
      </w:r>
      <w:proofErr w:type="spellStart"/>
      <w:r>
        <w:rPr>
          <w:b/>
          <w:sz w:val="20"/>
          <w:szCs w:val="20"/>
          <w:highlight w:val="yellow"/>
        </w:rPr>
        <w:t>corporationName</w:t>
      </w:r>
      <w:proofErr w:type="spellEnd"/>
      <w:r>
        <w:rPr>
          <w:b/>
          <w:sz w:val="20"/>
          <w:szCs w:val="20"/>
        </w:rPr>
        <w:t>}</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w:t>
      </w:r>
      <w:proofErr w:type="spellStart"/>
      <w:r w:rsidR="009B7398">
        <w:rPr>
          <w:sz w:val="20"/>
          <w:szCs w:val="20"/>
          <w:highlight w:val="yellow"/>
        </w:rPr>
        <w:t>corporationRepresentativeName</w:t>
      </w:r>
      <w:proofErr w:type="spellEnd"/>
      <w:r w:rsidR="009B7398">
        <w:rPr>
          <w:sz w:val="20"/>
          <w:szCs w:val="20"/>
        </w:rPr>
        <w:t>}</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w:t>
      </w:r>
      <w:proofErr w:type="spellStart"/>
      <w:r w:rsidR="00B64A8F">
        <w:rPr>
          <w:sz w:val="20"/>
          <w:szCs w:val="20"/>
          <w:highlight w:val="yellow"/>
        </w:rPr>
        <w:t>representativeTitle</w:t>
      </w:r>
      <w:proofErr w:type="spellEnd"/>
      <w:r w:rsidR="00BD6922">
        <w:rPr>
          <w:sz w:val="20"/>
          <w:szCs w:val="20"/>
        </w:rPr>
        <w:t>}</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