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Subject Visit Rule</w:t>
      </w:r>
    </w:p>
    <w:p>
      <w:r>
        <w:t>Rule R-INFUSION-01: Post-infusion visit must be checked against the documented infusion date.</w:t>
      </w:r>
    </w:p>
    <w:p>
      <w:r>
        <w:t>Trigger: present treatment_due</w:t>
      </w:r>
    </w:p>
    <w:p>
      <w:r>
        <w:t>Branch V: WHEN visit_date within -2..2 days of infusion_date THEN record visit as within the synthetic window</w:t>
      </w:r>
    </w:p>
    <w:p>
      <w:r>
        <w:t>Branch L: WHEN visit_date within 3..14 days of infusion_date THEN create late-visit follow-up</w:t>
      </w:r>
    </w:p>
    <w:p>
      <w:r>
        <w:t>Exception X: WHEN protocol_waiver = true THEN preserve the approved synthetic waiver</w:t>
      </w:r>
    </w:p>
    <w:p>
      <w:r>
        <w:t>Follow-up: explain the selected visit path</w:t>
      </w:r>
    </w:p>
    <w:p>
      <w:r>
        <w:t>Completion: actual date and rule version are visible</w:t>
      </w:r>
    </w:p>
    <w:p>
      <w:r>
        <w:t>Required facts: treatment_due, infusion_date, visit_date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W05 visit rule</dc:title>
  <dc:subject/>
  <dc:creator>Synthetic fixture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