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F3864"/>
          <w:sz w:val="30"/>
          <w:szCs w:val="30"/>
        </w:rPr>
        <w:t xml:space="preserve">New Development Bank</w:t>
      </w:r>
    </w:p>
    <w:p>
      <w:pPr>
        <w:spacing w:after="0" w:before="120"/>
        <w:jc w:val="center"/>
      </w:pPr>
      <w:r>
        <w:rPr>
          <w:color w:val="595959"/>
          <w:sz w:val="20"/>
          <w:szCs w:val="20"/>
        </w:rPr>
        <w:t xml:space="preserve">Information Technology Division — Information Security</w:t>
      </w:r>
    </w:p>
    <w:p>
      <w:pPr>
        <w:pBdr>
          <w:bottom w:val="single" w:color="1F3864" w:sz="12" w:space="8"/>
        </w:pBdr>
        <w:spacing w:after="0" w:before="700"/>
      </w:pPr>
      <w:r>
        <w:rPr>
          <w:sz w:val="2"/>
          <w:szCs w:val="2"/>
        </w:rPr>
        <w:t xml:space="preserve"/>
      </w:r>
    </w:p>
    <w:p>
      <w:pPr>
        <w:spacing w:after="0" w:before="240"/>
        <w:jc w:val="center"/>
      </w:pPr>
      <w:r>
        <w:rPr>
          <w:b/>
          <w:bCs/>
          <w:color w:val="1F3864"/>
          <w:sz w:val="40"/>
          <w:szCs w:val="40"/>
        </w:rPr>
        <w:t xml:space="preserve">AI Agent Governance for Security Automation</w:t>
      </w:r>
    </w:p>
    <w:p>
      <w:pPr>
        <w:spacing w:after="0" w:before="120"/>
        <w:jc w:val="center"/>
      </w:pPr>
      <w:r>
        <w:rPr>
          <w:b/>
          <w:bCs/>
          <w:color w:val="2E5496"/>
          <w:sz w:val="30"/>
          <w:szCs w:val="30"/>
        </w:rPr>
        <w:t xml:space="preserve">Compliance Gap Assessment</w:t>
      </w:r>
    </w:p>
    <w:p>
      <w:pPr>
        <w:pBdr>
          <w:top w:val="single" w:color="1F3864" w:sz="12" w:space="8"/>
        </w:pBdr>
        <w:spacing w:after="0" w:before="200"/>
      </w:pPr>
      <w:r>
        <w:rPr>
          <w:sz w:val="2"/>
          <w:szCs w:val="2"/>
        </w:rPr>
        <w:t xml:space="preserve"/>
      </w:r>
    </w:p>
    <w:p>
      <w:pPr>
        <w:spacing w:after="0" w:before="520"/>
        <w:jc w:val="center"/>
      </w:pPr>
      <w:r>
        <w:rPr>
          <w:color w:val="000000"/>
          <w:sz w:val="22"/>
          <w:szCs w:val="22"/>
        </w:rPr>
        <w:t xml:space="preserve">Subject system: CyberGuard — Multi-Agent Security Automation Platform</w:t>
      </w:r>
    </w:p>
    <w:p>
      <w:pPr>
        <w:spacing w:after="0" w:before="80"/>
        <w:jc w:val="center"/>
      </w:pPr>
      <w:r>
        <w:rPr>
          <w:color w:val="000000"/>
          <w:sz w:val="22"/>
          <w:szCs w:val="22"/>
        </w:rPr>
        <w:t xml:space="preserve">Assessed against: NDB IT/IS Technical Standard v1.0 (Effective June 2026)</w:t>
      </w:r>
    </w:p>
    <w:p>
      <w:pPr>
        <w:spacing w:after="0" w:before="700"/>
        <w:jc w:val="center"/>
      </w:pPr>
      <w:r>
        <w:rPr>
          <w:b/>
          <w:bCs/>
          <w:color w:val="C00000"/>
          <w:sz w:val="18"/>
          <w:szCs w:val="18"/>
        </w:rPr>
        <w:t xml:space="preserve">CONFIDENTIAL — INTERNAL</w:t>
      </w:r>
    </w:p>
    <w:p>
      <w:r>
        <w:br w:type="page"/>
      </w:r>
    </w:p>
    <w:p>
      <w:pPr>
        <w:pStyle w:val="Heading1"/>
        <w:spacing w:after="140" w:before="28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4C2D8" w:sz="4"/>
              <w:left w:val="single" w:color="B4C2D8" w:sz="4"/>
              <w:bottom w:val="single" w:color="B4C2D8" w:sz="4"/>
              <w:right w:val="single" w:color="B4C2D8" w:sz="4"/>
            </w:tcBorders>
            <w:shd w:fill="1F3864" w:color="auto" w:val="clear"/>
            <w:tcMar>
              <w:top w:type="dxa" w:w="60"/>
              <w:left w:type="dxa" w:w="110"/>
              <w:bottom w:type="dxa" w:w="60"/>
              <w:right w:type="dxa" w:w="110"/>
            </w:tcMar>
          </w:tcPr>
          <w:p>
            <w:pPr>
              <w:jc w:val="left"/>
            </w:pPr>
            <w:r>
              <w:rPr>
                <w:b/>
                <w:bCs/>
                <w:color w:val="FFFFFF"/>
                <w:sz w:val="18"/>
                <w:szCs w:val="18"/>
              </w:rPr>
              <w:t xml:space="preserve">Field</w:t>
            </w:r>
          </w:p>
        </w:tc>
        <w:tc>
          <w:tcPr>
            <w:tcW w:type="dxa" w:w="7160"/>
            <w:tcBorders>
              <w:top w:val="single" w:color="B4C2D8" w:sz="4"/>
              <w:left w:val="single" w:color="B4C2D8" w:sz="4"/>
              <w:bottom w:val="single" w:color="B4C2D8" w:sz="4"/>
              <w:right w:val="single" w:color="B4C2D8" w:sz="4"/>
            </w:tcBorders>
            <w:shd w:fill="1F3864" w:color="auto" w:val="clear"/>
            <w:tcMar>
              <w:top w:type="dxa" w:w="60"/>
              <w:left w:type="dxa" w:w="110"/>
              <w:bottom w:type="dxa" w:w="60"/>
              <w:right w:type="dxa" w:w="110"/>
            </w:tcMar>
          </w:tcPr>
          <w:p>
            <w:pPr>
              <w:jc w:val="left"/>
            </w:pPr>
            <w:r>
              <w:rPr>
                <w:b/>
                <w:bCs/>
                <w:color w:val="FFFFFF"/>
                <w:sz w:val="18"/>
                <w:szCs w:val="18"/>
              </w:rPr>
              <w:t xml:space="preserve">Value</w:t>
            </w:r>
          </w:p>
        </w:tc>
      </w:tr>
      <w:tr>
        <w:tc>
          <w:tcPr>
            <w:tcW w:type="dxa" w:w="22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Title</w:t>
            </w:r>
          </w:p>
        </w:tc>
        <w:tc>
          <w:tcPr>
            <w:tcW w:type="dxa" w:w="716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AI Agent Governance for Security Automation — Compliance Gap Assessment</w:t>
            </w:r>
          </w:p>
        </w:tc>
      </w:tr>
      <w:tr>
        <w:tc>
          <w:tcPr>
            <w:tcW w:type="dxa" w:w="22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Subject system</w:t>
            </w:r>
          </w:p>
        </w:tc>
        <w:tc>
          <w:tcPr>
            <w:tcW w:type="dxa" w:w="716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CyberGuard (multi-agent security automation platform)</w:t>
            </w:r>
          </w:p>
        </w:tc>
      </w:tr>
      <w:tr>
        <w:tc>
          <w:tcPr>
            <w:tcW w:type="dxa" w:w="22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Reference standard</w:t>
            </w:r>
          </w:p>
        </w:tc>
        <w:tc>
          <w:tcPr>
            <w:tcW w:type="dxa" w:w="716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NDB IT/IS Technical Standard — AI Agent Governance for Security Automation, v1.0</w:t>
            </w:r>
          </w:p>
        </w:tc>
      </w:tr>
      <w:tr>
        <w:tc>
          <w:tcPr>
            <w:tcW w:type="dxa" w:w="22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Standard status at assessment</w:t>
            </w:r>
          </w:p>
        </w:tc>
        <w:tc>
          <w:tcPr>
            <w:tcW w:type="dxa" w:w="716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v1.0 First Draft; effective June 2026; approver: Chief of IT</w:t>
            </w:r>
          </w:p>
        </w:tc>
      </w:tr>
      <w:tr>
        <w:tc>
          <w:tcPr>
            <w:tcW w:type="dxa" w:w="22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Assessment type</w:t>
            </w:r>
          </w:p>
        </w:tc>
        <w:tc>
          <w:tcPr>
            <w:tcW w:type="dxa" w:w="716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Control-by-control conformance gap analysis (design &amp; code review)</w:t>
            </w:r>
          </w:p>
        </w:tc>
      </w:tr>
      <w:tr>
        <w:tc>
          <w:tcPr>
            <w:tcW w:type="dxa" w:w="22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Overall result</w:t>
            </w:r>
          </w:p>
        </w:tc>
        <w:tc>
          <w:tcPr>
            <w:tcW w:type="dxa" w:w="716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1 of 13 mandatory items Met; 2 Partial; 10 Missing</w:t>
            </w:r>
          </w:p>
        </w:tc>
      </w:tr>
      <w:tr>
        <w:tc>
          <w:tcPr>
            <w:tcW w:type="dxa" w:w="22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Classification</w:t>
            </w:r>
          </w:p>
        </w:tc>
        <w:tc>
          <w:tcPr>
            <w:tcW w:type="dxa" w:w="716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Confidential — Internal</w:t>
            </w:r>
          </w:p>
        </w:tc>
      </w:tr>
    </w:tbl>
    <w:p>
      <w:pPr>
        <w:pStyle w:val="Heading1"/>
        <w:spacing w:after="140" w:before="2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t xml:space="preserve">1. Executive Summary</w:t>
      </w:r>
    </w:p>
    <w:p>
      <w:pPr>
        <w:spacing w:after="120" w:before="0"/>
      </w:pPr>
      <w:r>
        <w:t xml:space="preserve">This assessment evaluates the CyberGuard platform against the thirteen mandatory requirements of the NDB Technical Standard “AI Agent Governance for Security Automation” v1.0 — five governance taxonomies and six technical controls.</w:t>
      </w:r>
    </w:p>
    <w:p>
      <w:pPr>
        <w:spacing w:after="120" w:before="0"/>
      </w:pPr>
      <w:r>
        <w:rPr>
          <w:b/>
          <w:bCs/>
        </w:rPr>
        <w:t xml:space="preserve">Scope determination: </w:t>
      </w:r>
      <w:r>
        <w:t xml:space="preserve">CyberGuard is </w:t>
      </w:r>
      <w:r>
        <w:rPr>
          <w:b/>
          <w:bCs/>
        </w:rPr>
        <w:t xml:space="preserve">in scope</w:t>
      </w:r>
      <w:r>
        <w:t xml:space="preserve">. It runs multiple sub-agents that perform observe→decide→act loops, executes tools against external systems, and includes an exploitation agent that takes active/offensive actions — squarely the L1–L4 “agents that take actions” population the Standard targets.</w:t>
      </w:r>
    </w:p>
    <w:p>
      <w:pPr>
        <w:spacing w:after="120" w:before="0"/>
      </w:pPr>
      <w:r>
        <w:rPr>
          <w:b/>
          <w:bCs/>
        </w:rPr>
        <w:t xml:space="preserve">Overall posture: </w:t>
      </w:r>
      <w:r>
        <w:t xml:space="preserve">The runtime agent-governance framework the Standard mandates (autonomy tiers, action-category taxonomy, a unified gatekeeper, a kill switch, immutable audit, safety-envelope rollback) is </w:t>
      </w:r>
      <w:r>
        <w:rPr>
          <w:b/>
          <w:bCs/>
        </w:rPr>
        <w:t xml:space="preserve">largely not yet built</w:t>
      </w:r>
      <w:r>
        <w:t xml:space="preserve">. Of the 13 mandatory items, </w:t>
      </w:r>
      <w:r>
        <w:rPr>
          <w:b/>
          <w:bCs/>
          <w:color w:val="548235"/>
        </w:rPr>
        <w:t xml:space="preserve">1 is Met</w:t>
      </w:r>
      <w:r>
        <w:t xml:space="preserve"> (Human Approval Gate), </w:t>
      </w:r>
      <w:r>
        <w:rPr>
          <w:b/>
          <w:bCs/>
          <w:color w:val="BF8F00"/>
        </w:rPr>
        <w:t xml:space="preserve">2 are Partial</w:t>
      </w:r>
      <w:r>
        <w:t xml:space="preserve"> (Audit Trail, PII Handling), and </w:t>
      </w:r>
      <w:r>
        <w:rPr>
          <w:b/>
          <w:bCs/>
          <w:color w:val="C00000"/>
        </w:rPr>
        <w:t xml:space="preserve">10 are Missing</w:t>
      </w:r>
      <w:r>
        <w:t xml:space="preserve">.</w:t>
      </w:r>
    </w:p>
    <w:p>
      <w:pPr>
        <w:spacing w:after="120" w:before="0"/>
      </w:pPr>
      <w:r>
        <w:rPr>
          <w:b/>
          <w:bCs/>
        </w:rPr>
        <w:t xml:space="preserve">Important naming caveat: </w:t>
      </w:r>
      <w:r>
        <w:t xml:space="preserve">CyberGuard already contains a module called “governance” (</w:t>
      </w:r>
      <w:r>
        <w:rPr>
          <w:rFonts w:ascii="Consolas" w:cs="Consolas" w:eastAsia="Consolas" w:hAnsi="Consolas"/>
          <w:sz w:val="18"/>
          <w:szCs w:val="18"/>
        </w:rPr>
        <w:t xml:space="preserve">app/routers/governance.py</w:t>
      </w:r>
      <w:r>
        <w:t xml:space="preserve">), but it is a GRC/compliance-framework tracker (ISO 27001, NIST CSF assessments and evidence). It is a different concept from this Standard’s runtime action governance and does not satisfy any of these requirements.</w:t>
      </w:r>
    </w:p>
    <w:p>
      <w:pPr>
        <w:spacing w:after="120" w:before="0"/>
      </w:pPr>
      <w:r>
        <w:rPr>
          <w:b/>
          <w:bCs/>
        </w:rPr>
        <w:t xml:space="preserve">Bottom line: </w:t>
      </w:r>
      <w:r>
        <w:rPr>
          <w:b/>
          <w:bCs/>
        </w:rPr>
        <w:t xml:space="preserve">control objectives implemented to fit CyberGuard’s multi-tenant, dynamic-agent architecture</w:t>
      </w:r>
      <w:r>
        <w:t xml:space="preserve">, not as the literal single-file/static-YAML implementation the Standard’s appendices imply. Section 5 details the recommended approach; Section 4 critiques where the Standard itself should be refined.</w:t>
      </w:r>
    </w:p>
    <w:p>
      <w:pPr>
        <w:pStyle w:val="Heading1"/>
        <w:spacing w:after="140" w:before="280"/>
      </w:pPr>
      <w:r>
        <w:t xml:space="preserve">2. Methodology</w:t>
      </w:r>
    </w:p>
    <w:p>
      <w:pPr>
        <w:spacing w:after="120" w:before="0"/>
      </w:pPr>
      <w:r>
        <w:t xml:space="preserve">The Standard’s normative text was extracted and decomposed into 13 discrete mandatory requirements. Each was checked against the CyberGuard codebase by direct source review of the agent execution path, approval service, audit subsystem, tool execution chokepoint, guardrails, and configuration layer. Each requirement is rated:</w:t>
      </w:r>
    </w:p>
    <w:p>
      <w:pPr>
        <w:pStyle w:val="ListParagraph"/>
        <w:numPr>
          <w:ilvl w:val="0"/>
          <w:numId w:val="2"/>
        </w:numPr>
        <w:spacing w:after="60"/>
      </w:pPr>
      <w:r>
        <w:rPr>
          <w:b/>
          <w:bCs/>
          <w:color w:val="548235"/>
        </w:rPr>
        <w:t xml:space="preserve">Met</w:t>
      </w:r>
      <w:r>
        <w:t xml:space="preserve"> — implemented and substantially conformant.</w:t>
      </w:r>
    </w:p>
    <w:p>
      <w:pPr>
        <w:pStyle w:val="ListParagraph"/>
        <w:numPr>
          <w:ilvl w:val="0"/>
          <w:numId w:val="2"/>
        </w:numPr>
        <w:spacing w:after="60"/>
      </w:pPr>
      <w:r>
        <w:rPr>
          <w:b/>
          <w:bCs/>
          <w:color w:val="BF8F00"/>
        </w:rPr>
        <w:t xml:space="preserve">Partial</w:t>
      </w:r>
      <w:r>
        <w:t xml:space="preserve"> — a related mechanism exists but does not meet the Standard’s explicit requirements.</w:t>
      </w:r>
    </w:p>
    <w:p>
      <w:pPr>
        <w:pStyle w:val="ListParagraph"/>
        <w:numPr>
          <w:ilvl w:val="0"/>
          <w:numId w:val="2"/>
        </w:numPr>
        <w:spacing w:after="60"/>
      </w:pPr>
      <w:r>
        <w:rPr>
          <w:b/>
          <w:bCs/>
          <w:color w:val="C00000"/>
        </w:rPr>
        <w:t xml:space="preserve">Missing</w:t>
      </w:r>
      <w:r>
        <w:t xml:space="preserve"> — no implementation in the runtime agent path.</w:t>
      </w:r>
    </w:p>
    <w:p>
      <w:pPr>
        <w:pStyle w:val="Heading1"/>
        <w:spacing w:after="140" w:before="280"/>
      </w:pPr>
      <w:r>
        <w:t xml:space="preserve">3. Compliance Matrix</w:t>
      </w:r>
    </w:p>
    <w:p>
      <w:pPr>
        <w:pStyle w:val="Heading2"/>
        <w:spacing w:after="100" w:before="220"/>
      </w:pPr>
      <w:r>
        <w:t xml:space="preserve">3.1 Part A — Mandatory Governance Taxonomy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1100"/>
        <w:gridCol w:w="4500"/>
      </w:tblGrid>
      <w:tr>
        <w:trPr>
          <w:tblHeader/>
        </w:trPr>
        <w:tc>
          <w:tcPr>
            <w:tcW w:type="dxa" w:w="560"/>
            <w:tcBorders>
              <w:top w:val="single" w:color="B4C2D8" w:sz="4"/>
              <w:left w:val="single" w:color="B4C2D8" w:sz="4"/>
              <w:bottom w:val="single" w:color="B4C2D8" w:sz="4"/>
              <w:right w:val="single" w:color="B4C2D8" w:sz="4"/>
            </w:tcBorders>
            <w:shd w:fill="1F3864" w:color="auto" w:val="clear"/>
            <w:tcMar>
              <w:top w:type="dxa" w:w="60"/>
              <w:left w:type="dxa" w:w="110"/>
              <w:bottom w:type="dxa" w:w="60"/>
              <w:right w:type="dxa" w:w="110"/>
            </w:tcMar>
          </w:tcPr>
          <w:p>
            <w:pPr>
              <w:jc w:val="left"/>
            </w:pPr>
            <w:r>
              <w:rPr>
                <w:b/>
                <w:bCs/>
                <w:color w:val="FFFFFF"/>
                <w:sz w:val="18"/>
                <w:szCs w:val="18"/>
              </w:rPr>
              <w:t xml:space="preserve">#</w:t>
            </w:r>
          </w:p>
        </w:tc>
        <w:tc>
          <w:tcPr>
            <w:tcW w:type="dxa" w:w="3200"/>
            <w:tcBorders>
              <w:top w:val="single" w:color="B4C2D8" w:sz="4"/>
              <w:left w:val="single" w:color="B4C2D8" w:sz="4"/>
              <w:bottom w:val="single" w:color="B4C2D8" w:sz="4"/>
              <w:right w:val="single" w:color="B4C2D8" w:sz="4"/>
            </w:tcBorders>
            <w:shd w:fill="1F3864" w:color="auto" w:val="clear"/>
            <w:tcMar>
              <w:top w:type="dxa" w:w="60"/>
              <w:left w:type="dxa" w:w="110"/>
              <w:bottom w:type="dxa" w:w="60"/>
              <w:right w:type="dxa" w:w="110"/>
            </w:tcMar>
          </w:tcPr>
          <w:p>
            <w:pPr>
              <w:jc w:val="left"/>
            </w:pPr>
            <w:r>
              <w:rPr>
                <w:b/>
                <w:bCs/>
                <w:color w:val="FFFFFF"/>
                <w:sz w:val="18"/>
                <w:szCs w:val="18"/>
              </w:rPr>
              <w:t xml:space="preserve">Requirement</w:t>
            </w:r>
          </w:p>
        </w:tc>
        <w:tc>
          <w:tcPr>
            <w:tcW w:type="dxa" w:w="1100"/>
            <w:tcBorders>
              <w:top w:val="single" w:color="B4C2D8" w:sz="4"/>
              <w:left w:val="single" w:color="B4C2D8" w:sz="4"/>
              <w:bottom w:val="single" w:color="B4C2D8" w:sz="4"/>
              <w:right w:val="single" w:color="B4C2D8" w:sz="4"/>
            </w:tcBorders>
            <w:shd w:fill="1F3864" w:color="auto" w:val="clear"/>
            <w:tcMar>
              <w:top w:type="dxa" w:w="60"/>
              <w:left w:type="dxa" w:w="110"/>
              <w:bottom w:type="dxa" w:w="60"/>
              <w:right w:type="dxa" w:w="110"/>
            </w:tcMar>
          </w:tcPr>
          <w:p>
            <w:pPr>
              <w:jc w:val="left"/>
            </w:pPr>
            <w:r>
              <w:rPr>
                <w:b/>
                <w:bCs/>
                <w:color w:val="FFFFFF"/>
                <w:sz w:val="18"/>
                <w:szCs w:val="18"/>
              </w:rPr>
              <w:t xml:space="preserve">Status</w:t>
            </w:r>
          </w:p>
        </w:tc>
        <w:tc>
          <w:tcPr>
            <w:tcW w:type="dxa" w:w="4500"/>
            <w:tcBorders>
              <w:top w:val="single" w:color="B4C2D8" w:sz="4"/>
              <w:left w:val="single" w:color="B4C2D8" w:sz="4"/>
              <w:bottom w:val="single" w:color="B4C2D8" w:sz="4"/>
              <w:right w:val="single" w:color="B4C2D8" w:sz="4"/>
            </w:tcBorders>
            <w:shd w:fill="1F3864" w:color="auto" w:val="clear"/>
            <w:tcMar>
              <w:top w:type="dxa" w:w="60"/>
              <w:left w:type="dxa" w:w="110"/>
              <w:bottom w:type="dxa" w:w="60"/>
              <w:right w:type="dxa" w:w="110"/>
            </w:tcMar>
          </w:tcPr>
          <w:p>
            <w:pPr>
              <w:jc w:val="left"/>
            </w:pPr>
            <w:r>
              <w:rPr>
                <w:b/>
                <w:bCs/>
                <w:color w:val="FFFFFF"/>
                <w:sz w:val="18"/>
                <w:szCs w:val="18"/>
              </w:rPr>
              <w:t xml:space="preserve">Evidence / Finding</w:t>
            </w:r>
          </w:p>
        </w:tc>
      </w:tr>
      <w:tr>
        <w:tc>
          <w:tcPr>
            <w:tcW w:type="dxa" w:w="56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A1</w:t>
            </w:r>
          </w:p>
        </w:tc>
        <w:tc>
          <w:tcPr>
            <w:tcW w:type="dxa" w:w="32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Autonomy Tier L0–L4 (POC defaults L2; L3 needs Chief of IT; L4 forbidden)</w:t>
            </w:r>
          </w:p>
        </w:tc>
        <w:tc>
          <w:tcPr>
            <w:tcW w:type="dxa" w:w="1100"/>
            <w:tcBorders>
              <w:top w:val="single" w:color="B4C2D8" w:sz="4"/>
              <w:left w:val="single" w:color="B4C2D8" w:sz="4"/>
              <w:bottom w:val="single" w:color="B4C2D8" w:sz="4"/>
              <w:right w:val="single" w:color="B4C2D8" w:sz="4"/>
            </w:tcBorders>
            <w:tcMar>
              <w:top w:type="dxa" w:w="60"/>
              <w:left w:type="dxa" w:w="110"/>
              <w:bottom w:type="dxa" w:w="60"/>
              <w:right w:type="dxa" w:w="110"/>
            </w:tcMar>
          </w:tcPr>
          <w:p>
            <w:pPr>
              <w:jc w:val="center"/>
            </w:pPr>
            <w:r>
              <w:rPr>
                <w:b/>
                <w:bCs/>
                <w:color w:val="C00000"/>
                <w:sz w:val="18"/>
                <w:szCs w:val="18"/>
              </w:rPr>
              <w:t xml:space="preserve">Missing</w:t>
            </w:r>
          </w:p>
        </w:tc>
        <w:tc>
          <w:tcPr>
            <w:tcW w:type="dxa" w:w="45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No tier concept in the execution path. L0–L4 appears only in prompt templates and GRC evidence text, not as an enforced agent attribute.</w:t>
            </w:r>
          </w:p>
        </w:tc>
      </w:tr>
      <w:tr>
        <w:tc>
          <w:tcPr>
            <w:tcW w:type="dxa" w:w="56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A2</w:t>
            </w:r>
          </w:p>
        </w:tc>
        <w:tc>
          <w:tcPr>
            <w:tcW w:type="dxa" w:w="32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Action Category (Observe / Annotate / Notify / Contain-soft / Contain-hard / Remediate / Mutate)</w:t>
            </w:r>
          </w:p>
        </w:tc>
        <w:tc>
          <w:tcPr>
            <w:tcW w:type="dxa" w:w="11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pPr>
              <w:jc w:val="center"/>
            </w:pPr>
            <w:r>
              <w:rPr>
                <w:b/>
                <w:bCs/>
                <w:color w:val="C00000"/>
                <w:sz w:val="18"/>
                <w:szCs w:val="18"/>
              </w:rPr>
              <w:t xml:space="preserve">Missing</w:t>
            </w:r>
          </w:p>
        </w:tc>
        <w:tc>
          <w:tcPr>
            <w:tcW w:type="dxa" w:w="45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Tools are not classified into the 7 categories; no “every action maps to exactly one category” enforcement.</w:t>
            </w:r>
          </w:p>
        </w:tc>
      </w:tr>
      <w:tr>
        <w:tc>
          <w:tcPr>
            <w:tcW w:type="dxa" w:w="56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A3</w:t>
            </w:r>
          </w:p>
        </w:tc>
        <w:tc>
          <w:tcPr>
            <w:tcW w:type="dxa" w:w="32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Risk Tier (Critical/High/Medium/Low → approval routing)</w:t>
            </w:r>
          </w:p>
        </w:tc>
        <w:tc>
          <w:tcPr>
            <w:tcW w:type="dxa" w:w="1100"/>
            <w:tcBorders>
              <w:top w:val="single" w:color="B4C2D8" w:sz="4"/>
              <w:left w:val="single" w:color="B4C2D8" w:sz="4"/>
              <w:bottom w:val="single" w:color="B4C2D8" w:sz="4"/>
              <w:right w:val="single" w:color="B4C2D8" w:sz="4"/>
            </w:tcBorders>
            <w:tcMar>
              <w:top w:type="dxa" w:w="60"/>
              <w:left w:type="dxa" w:w="110"/>
              <w:bottom w:type="dxa" w:w="60"/>
              <w:right w:type="dxa" w:w="110"/>
            </w:tcMar>
          </w:tcPr>
          <w:p>
            <w:pPr>
              <w:jc w:val="center"/>
            </w:pPr>
            <w:r>
              <w:rPr>
                <w:b/>
                <w:bCs/>
                <w:color w:val="C00000"/>
                <w:sz w:val="18"/>
                <w:szCs w:val="18"/>
              </w:rPr>
              <w:t xml:space="preserve">Missing</w:t>
            </w:r>
          </w:p>
        </w:tc>
        <w:tc>
          <w:tcPr>
            <w:tcW w:type="dxa" w:w="45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Approval is a per-tool boolean (permission_level == high). No risk grading and no routing to different approvers (config.py, tool_executor.py).</w:t>
            </w:r>
          </w:p>
        </w:tc>
      </w:tr>
      <w:tr>
        <w:tc>
          <w:tcPr>
            <w:tcW w:type="dxa" w:w="56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A4</w:t>
            </w:r>
          </w:p>
        </w:tc>
        <w:tc>
          <w:tcPr>
            <w:tcW w:type="dxa" w:w="32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Confidence &amp; Escalation (auto ≥ 0.85; escalate &lt; 0.60)</w:t>
            </w:r>
          </w:p>
        </w:tc>
        <w:tc>
          <w:tcPr>
            <w:tcW w:type="dxa" w:w="11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pPr>
              <w:jc w:val="center"/>
            </w:pPr>
            <w:r>
              <w:rPr>
                <w:b/>
                <w:bCs/>
                <w:color w:val="C00000"/>
                <w:sz w:val="18"/>
                <w:szCs w:val="18"/>
              </w:rPr>
              <w:t xml:space="preserve">Missing</w:t>
            </w:r>
          </w:p>
        </w:tc>
        <w:tc>
          <w:tcPr>
            <w:tcW w:type="dxa" w:w="45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No confidence gate in execution. The only “confidence” is the prompt-injection classifier in guardrails.py — unrelated to action authorisation.</w:t>
            </w:r>
          </w:p>
        </w:tc>
      </w:tr>
      <w:tr>
        <w:tc>
          <w:tcPr>
            <w:tcW w:type="dxa" w:w="56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A5</w:t>
            </w:r>
          </w:p>
        </w:tc>
        <w:tc>
          <w:tcPr>
            <w:tcW w:type="dxa" w:w="32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Data Lineage &amp; PII (redact PII before any LLM/external call; block secrets)</w:t>
            </w:r>
          </w:p>
        </w:tc>
        <w:tc>
          <w:tcPr>
            <w:tcW w:type="dxa" w:w="1100"/>
            <w:tcBorders>
              <w:top w:val="single" w:color="B4C2D8" w:sz="4"/>
              <w:left w:val="single" w:color="B4C2D8" w:sz="4"/>
              <w:bottom w:val="single" w:color="B4C2D8" w:sz="4"/>
              <w:right w:val="single" w:color="B4C2D8" w:sz="4"/>
            </w:tcBorders>
            <w:tcMar>
              <w:top w:type="dxa" w:w="60"/>
              <w:left w:type="dxa" w:w="110"/>
              <w:bottom w:type="dxa" w:w="60"/>
              <w:right w:type="dxa" w:w="110"/>
            </w:tcMar>
          </w:tcPr>
          <w:p>
            <w:pPr>
              <w:jc w:val="center"/>
            </w:pPr>
            <w:r>
              <w:rPr>
                <w:b/>
                <w:bCs/>
                <w:color w:val="BF8F00"/>
                <w:sz w:val="18"/>
                <w:szCs w:val="18"/>
              </w:rPr>
              <w:t xml:space="preserve">Partial</w:t>
            </w:r>
          </w:p>
        </w:tc>
        <w:tc>
          <w:tcPr>
            <w:tcW w:type="dxa" w:w="45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No pre-LLM redaction filter before llm_router create() calls; no secrets-blocking in the agent path. Only generic telemetry/log handling exists.</w:t>
            </w:r>
          </w:p>
        </w:tc>
      </w:tr>
    </w:tbl>
    <w:p>
      <w:pPr>
        <w:pStyle w:val="Heading2"/>
        <w:spacing w:after="100" w:before="220"/>
      </w:pPr>
      <w:r>
        <w:t xml:space="preserve">3.2 Part B — Mandatory Technical Controls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1100"/>
        <w:gridCol w:w="4500"/>
      </w:tblGrid>
      <w:tr>
        <w:trPr>
          <w:tblHeader/>
        </w:trPr>
        <w:tc>
          <w:tcPr>
            <w:tcW w:type="dxa" w:w="560"/>
            <w:tcBorders>
              <w:top w:val="single" w:color="B4C2D8" w:sz="4"/>
              <w:left w:val="single" w:color="B4C2D8" w:sz="4"/>
              <w:bottom w:val="single" w:color="B4C2D8" w:sz="4"/>
              <w:right w:val="single" w:color="B4C2D8" w:sz="4"/>
            </w:tcBorders>
            <w:shd w:fill="1F3864" w:color="auto" w:val="clear"/>
            <w:tcMar>
              <w:top w:type="dxa" w:w="60"/>
              <w:left w:type="dxa" w:w="110"/>
              <w:bottom w:type="dxa" w:w="60"/>
              <w:right w:type="dxa" w:w="110"/>
            </w:tcMar>
          </w:tcPr>
          <w:p>
            <w:pPr>
              <w:jc w:val="left"/>
            </w:pPr>
            <w:r>
              <w:rPr>
                <w:b/>
                <w:bCs/>
                <w:color w:val="FFFFFF"/>
                <w:sz w:val="18"/>
                <w:szCs w:val="18"/>
              </w:rPr>
              <w:t xml:space="preserve">#</w:t>
            </w:r>
          </w:p>
        </w:tc>
        <w:tc>
          <w:tcPr>
            <w:tcW w:type="dxa" w:w="3200"/>
            <w:tcBorders>
              <w:top w:val="single" w:color="B4C2D8" w:sz="4"/>
              <w:left w:val="single" w:color="B4C2D8" w:sz="4"/>
              <w:bottom w:val="single" w:color="B4C2D8" w:sz="4"/>
              <w:right w:val="single" w:color="B4C2D8" w:sz="4"/>
            </w:tcBorders>
            <w:shd w:fill="1F3864" w:color="auto" w:val="clear"/>
            <w:tcMar>
              <w:top w:type="dxa" w:w="60"/>
              <w:left w:type="dxa" w:w="110"/>
              <w:bottom w:type="dxa" w:w="60"/>
              <w:right w:type="dxa" w:w="110"/>
            </w:tcMar>
          </w:tcPr>
          <w:p>
            <w:pPr>
              <w:jc w:val="left"/>
            </w:pPr>
            <w:r>
              <w:rPr>
                <w:b/>
                <w:bCs/>
                <w:color w:val="FFFFFF"/>
                <w:sz w:val="18"/>
                <w:szCs w:val="18"/>
              </w:rPr>
              <w:t xml:space="preserve">Requirement</w:t>
            </w:r>
          </w:p>
        </w:tc>
        <w:tc>
          <w:tcPr>
            <w:tcW w:type="dxa" w:w="1100"/>
            <w:tcBorders>
              <w:top w:val="single" w:color="B4C2D8" w:sz="4"/>
              <w:left w:val="single" w:color="B4C2D8" w:sz="4"/>
              <w:bottom w:val="single" w:color="B4C2D8" w:sz="4"/>
              <w:right w:val="single" w:color="B4C2D8" w:sz="4"/>
            </w:tcBorders>
            <w:shd w:fill="1F3864" w:color="auto" w:val="clear"/>
            <w:tcMar>
              <w:top w:type="dxa" w:w="60"/>
              <w:left w:type="dxa" w:w="110"/>
              <w:bottom w:type="dxa" w:w="60"/>
              <w:right w:type="dxa" w:w="110"/>
            </w:tcMar>
          </w:tcPr>
          <w:p>
            <w:pPr>
              <w:jc w:val="left"/>
            </w:pPr>
            <w:r>
              <w:rPr>
                <w:b/>
                <w:bCs/>
                <w:color w:val="FFFFFF"/>
                <w:sz w:val="18"/>
                <w:szCs w:val="18"/>
              </w:rPr>
              <w:t xml:space="preserve">Status</w:t>
            </w:r>
          </w:p>
        </w:tc>
        <w:tc>
          <w:tcPr>
            <w:tcW w:type="dxa" w:w="4500"/>
            <w:tcBorders>
              <w:top w:val="single" w:color="B4C2D8" w:sz="4"/>
              <w:left w:val="single" w:color="B4C2D8" w:sz="4"/>
              <w:bottom w:val="single" w:color="B4C2D8" w:sz="4"/>
              <w:right w:val="single" w:color="B4C2D8" w:sz="4"/>
            </w:tcBorders>
            <w:shd w:fill="1F3864" w:color="auto" w:val="clear"/>
            <w:tcMar>
              <w:top w:type="dxa" w:w="60"/>
              <w:left w:type="dxa" w:w="110"/>
              <w:bottom w:type="dxa" w:w="60"/>
              <w:right w:type="dxa" w:w="110"/>
            </w:tcMar>
          </w:tcPr>
          <w:p>
            <w:pPr>
              <w:jc w:val="left"/>
            </w:pPr>
            <w:r>
              <w:rPr>
                <w:b/>
                <w:bCs/>
                <w:color w:val="FFFFFF"/>
                <w:sz w:val="18"/>
                <w:szCs w:val="18"/>
              </w:rPr>
              <w:t xml:space="preserve">Evidence / Finding</w:t>
            </w:r>
          </w:p>
        </w:tc>
      </w:tr>
      <w:tr>
        <w:tc>
          <w:tcPr>
            <w:tcW w:type="dxa" w:w="56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B1</w:t>
            </w:r>
          </w:p>
        </w:tc>
        <w:tc>
          <w:tcPr>
            <w:tcW w:type="dxa" w:w="32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Governance Config File (config/agent_governance.yaml at repo root)</w:t>
            </w:r>
          </w:p>
        </w:tc>
        <w:tc>
          <w:tcPr>
            <w:tcW w:type="dxa" w:w="1100"/>
            <w:tcBorders>
              <w:top w:val="single" w:color="B4C2D8" w:sz="4"/>
              <w:left w:val="single" w:color="B4C2D8" w:sz="4"/>
              <w:bottom w:val="single" w:color="B4C2D8" w:sz="4"/>
              <w:right w:val="single" w:color="B4C2D8" w:sz="4"/>
            </w:tcBorders>
            <w:tcMar>
              <w:top w:type="dxa" w:w="60"/>
              <w:left w:type="dxa" w:w="110"/>
              <w:bottom w:type="dxa" w:w="60"/>
              <w:right w:type="dxa" w:w="110"/>
            </w:tcMar>
          </w:tcPr>
          <w:p>
            <w:pPr>
              <w:jc w:val="center"/>
            </w:pPr>
            <w:r>
              <w:rPr>
                <w:b/>
                <w:bCs/>
                <w:color w:val="C00000"/>
                <w:sz w:val="18"/>
                <w:szCs w:val="18"/>
              </w:rPr>
              <w:t xml:space="preserve">Missing</w:t>
            </w:r>
          </w:p>
        </w:tc>
        <w:tc>
          <w:tcPr>
            <w:tcW w:type="dxa" w:w="45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No such file. Config is DB-backed (master_config, per-tool flags). The declarative intent is unmet in any form.</w:t>
            </w:r>
          </w:p>
        </w:tc>
      </w:tr>
      <w:tr>
        <w:tc>
          <w:tcPr>
            <w:tcW w:type="dxa" w:w="56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B2</w:t>
            </w:r>
          </w:p>
        </w:tc>
        <w:tc>
          <w:tcPr>
            <w:tcW w:type="dxa" w:w="32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Action Gatekeeper (single gatekeeper_check → ALLOW/DENY/NEEDS_APPROVAL before any state change)</w:t>
            </w:r>
          </w:p>
        </w:tc>
        <w:tc>
          <w:tcPr>
            <w:tcW w:type="dxa" w:w="11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pPr>
              <w:jc w:val="center"/>
            </w:pPr>
            <w:r>
              <w:rPr>
                <w:b/>
                <w:bCs/>
                <w:color w:val="C00000"/>
                <w:sz w:val="18"/>
                <w:szCs w:val="18"/>
              </w:rPr>
              <w:t xml:space="preserve">Missing</w:t>
            </w:r>
          </w:p>
        </w:tc>
        <w:tc>
          <w:tcPr>
            <w:tcW w:type="dxa" w:w="45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No unified gatekeeper. tool_executor.execute_tool() does RBAC + binary approval only — it is the natural chokepoint but does not enforce category/risk/confidence/rate.</w:t>
            </w:r>
          </w:p>
        </w:tc>
      </w:tr>
      <w:tr>
        <w:tc>
          <w:tcPr>
            <w:tcW w:type="dxa" w:w="56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B3</w:t>
            </w:r>
          </w:p>
        </w:tc>
        <w:tc>
          <w:tcPr>
            <w:tcW w:type="dxa" w:w="32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Kill Switch (remotely stop &lt; 5s; file / API / UI; 1s poll)</w:t>
            </w:r>
          </w:p>
        </w:tc>
        <w:tc>
          <w:tcPr>
            <w:tcW w:type="dxa" w:w="1100"/>
            <w:tcBorders>
              <w:top w:val="single" w:color="B4C2D8" w:sz="4"/>
              <w:left w:val="single" w:color="B4C2D8" w:sz="4"/>
              <w:bottom w:val="single" w:color="B4C2D8" w:sz="4"/>
              <w:right w:val="single" w:color="B4C2D8" w:sz="4"/>
            </w:tcBorders>
            <w:tcMar>
              <w:top w:type="dxa" w:w="60"/>
              <w:left w:type="dxa" w:w="110"/>
              <w:bottom w:type="dxa" w:w="60"/>
              <w:right w:type="dxa" w:w="110"/>
            </w:tcMar>
          </w:tcPr>
          <w:p>
            <w:pPr>
              <w:jc w:val="center"/>
            </w:pPr>
            <w:r>
              <w:rPr>
                <w:b/>
                <w:bCs/>
                <w:color w:val="C00000"/>
                <w:sz w:val="18"/>
                <w:szCs w:val="18"/>
              </w:rPr>
              <w:t xml:space="preserve">Missing</w:t>
            </w:r>
          </w:p>
        </w:tc>
        <w:tc>
          <w:tcPr>
            <w:tcW w:type="dxa" w:w="45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No kill switch anywhere in app/, tool_runner/, or webui/. No /agent/halt endpoint, no halt signal, no UI control.</w:t>
            </w:r>
          </w:p>
        </w:tc>
      </w:tr>
      <w:tr>
        <w:tc>
          <w:tcPr>
            <w:tcW w:type="dxa" w:w="56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B4</w:t>
            </w:r>
          </w:p>
        </w:tc>
        <w:tc>
          <w:tcPr>
            <w:tcW w:type="dxa" w:w="32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Audit Trail (immutable JSON lines; WORM or signed; input/output hashes; deletion forbidden)</w:t>
            </w:r>
          </w:p>
        </w:tc>
        <w:tc>
          <w:tcPr>
            <w:tcW w:type="dxa" w:w="11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pPr>
              <w:jc w:val="center"/>
            </w:pPr>
            <w:r>
              <w:rPr>
                <w:b/>
                <w:bCs/>
                <w:color w:val="BF8F00"/>
                <w:sz w:val="18"/>
                <w:szCs w:val="18"/>
              </w:rPr>
              <w:t xml:space="preserve">Partial</w:t>
            </w:r>
          </w:p>
        </w:tc>
        <w:tc>
          <w:tcPr>
            <w:tcW w:type="dxa" w:w="45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audit.py records SHA256 input/output hashes + request_id, but writes to a mutable Postgres table (deletable, no WORM, no hash chain/signature) via a 10-item buffer (data loss on crash). DB write also drops timestamp and the Standard’s required fields (category, confidence, reviewer, rollback_possible, risk_tier).</w:t>
            </w:r>
          </w:p>
        </w:tc>
      </w:tr>
      <w:tr>
        <w:tc>
          <w:tcPr>
            <w:tcW w:type="dxa" w:w="56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B5</w:t>
            </w:r>
          </w:p>
        </w:tc>
        <w:tc>
          <w:tcPr>
            <w:tcW w:type="dxa" w:w="32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Human Approval Gate (pause/notify; timeout default 300s; on timeout escalate, never auto-approve; log human ID)</w:t>
            </w:r>
          </w:p>
        </w:tc>
        <w:tc>
          <w:tcPr>
            <w:tcW w:type="dxa" w:w="1100"/>
            <w:tcBorders>
              <w:top w:val="single" w:color="B4C2D8" w:sz="4"/>
              <w:left w:val="single" w:color="B4C2D8" w:sz="4"/>
              <w:bottom w:val="single" w:color="B4C2D8" w:sz="4"/>
              <w:right w:val="single" w:color="B4C2D8" w:sz="4"/>
            </w:tcBorders>
            <w:tcMar>
              <w:top w:type="dxa" w:w="60"/>
              <w:left w:type="dxa" w:w="110"/>
              <w:bottom w:type="dxa" w:w="60"/>
              <w:right w:type="dxa" w:w="110"/>
            </w:tcMar>
          </w:tcPr>
          <w:p>
            <w:pPr>
              <w:jc w:val="center"/>
            </w:pPr>
            <w:r>
              <w:rPr>
                <w:b/>
                <w:bCs/>
                <w:color w:val="548235"/>
                <w:sz w:val="18"/>
                <w:szCs w:val="18"/>
              </w:rPr>
              <w:t xml:space="preserve">Met</w:t>
            </w:r>
          </w:p>
        </w:tc>
        <w:tc>
          <w:tcPr>
            <w:tcW w:type="dxa" w:w="45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approval_service.py: create_request / wait_for_decision(timeout) / decide(approver_id, comment) + Redis pub/sub + email + UI. Two deviations: default timeout is 3600s (not 300s) and a dev path can “Auto-approve by system” — which contradicts “never auto-approve”.</w:t>
            </w:r>
          </w:p>
        </w:tc>
      </w:tr>
      <w:tr>
        <w:tc>
          <w:tcPr>
            <w:tcW w:type="dxa" w:w="56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B6</w:t>
            </w:r>
          </w:p>
        </w:tc>
        <w:tc>
          <w:tcPr>
            <w:tcW w:type="dxa" w:w="32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Safety Envelope (pre-validation, post-verification, rollback registry for soft/hard-contain and remediate)</w:t>
            </w:r>
          </w:p>
        </w:tc>
        <w:tc>
          <w:tcPr>
            <w:tcW w:type="dxa" w:w="11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pPr>
              <w:jc w:val="center"/>
            </w:pPr>
            <w:r>
              <w:rPr>
                <w:b/>
                <w:bCs/>
                <w:color w:val="C00000"/>
                <w:sz w:val="18"/>
                <w:szCs w:val="18"/>
              </w:rPr>
              <w:t xml:space="preserve">Missing</w:t>
            </w:r>
          </w:p>
        </w:tc>
        <w:tc>
          <w:tcPr>
            <w:tcW w:type="dxa" w:w="45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No rollback_registry; no dry-run / health-check / revert path for state-changing actions.</w:t>
            </w:r>
          </w:p>
        </w:tc>
      </w:tr>
    </w:tbl>
    <w:p>
      <w:r>
        <w:br w:type="page"/>
      </w:r>
    </w:p>
    <w:p>
      <w:pPr>
        <w:pStyle w:val="Heading1"/>
        <w:spacing w:after="140" w:before="280"/>
      </w:pPr>
      <w:r>
        <w:t xml:space="preserve">4. Assessment of the Standard Itself</w:t>
      </w:r>
    </w:p>
    <w:p>
      <w:pPr>
        <w:spacing w:after="120" w:before="0"/>
      </w:pPr>
      <w:r>
        <w:rPr>
          <w:b/>
          <w:bCs/>
        </w:rPr>
        <w:t xml:space="preserve">Verdict: </w:t>
      </w:r>
      <w:r>
        <w:t xml:space="preserve">the Standard is well-constructed and aligned with mainstream practice (NIST AI RMF; human-in-the-loop SOAR governance). Autonomy grading, action classification, kill switch, immutable audit, HITL, and rollback are the right controls, and the defaults are appropriately conservative (default L2, L4 forbidden, PII redaction). Its intent should be followed.</w:t>
      </w:r>
    </w:p>
    <w:p>
      <w:pPr>
        <w:spacing w:after="120" w:before="0"/>
      </w:pPr>
      <w:r>
        <w:t xml:space="preserve">However, the document reads as if written for a single, standalone Python agent (Appendix A is one Gatekeeper class reading one YAML). Applied to a multi-tenant, multi-agent, dynamic-tool platform like CyberGuard, several prescriptive specifics should be treated as guidance and implemented by objective rather than verbatim:</w:t>
      </w:r>
    </w:p>
    <w:p>
      <w:pPr>
        <w:pStyle w:val="Heading3"/>
        <w:spacing w:after="80" w:before="160"/>
      </w:pPr>
      <w:r>
        <w:t xml:space="preserve">4.1 Points that should be refined</w:t>
      </w:r>
    </w:p>
    <w:p>
      <w:pPr>
        <w:pStyle w:val="ListParagraph"/>
        <w:numPr>
          <w:ilvl w:val="0"/>
          <w:numId w:val="2"/>
        </w:numPr>
        <w:spacing w:after="60"/>
      </w:pPr>
      <w:r>
        <w:rPr>
          <w:b/>
          <w:bCs/>
        </w:rPr>
        <w:t xml:space="preserve">Hard-coded confidence numbers (0.85 / 0.60) are weakly grounded. </w:t>
      </w:r>
      <w:r>
        <w:t xml:space="preserve">Self-reported LLM confidence is poorly calibrated; gating actions on it is fragile. Keep “escalate when uncertain” as intent, but drive authorisation primarily from action category + risk tier + deterministic rules. The clause “cannot be raised above 0.70” is also ambiguous.</w:t>
      </w:r>
    </w:p>
    <w:p>
      <w:pPr>
        <w:pStyle w:val="ListParagraph"/>
        <w:numPr>
          <w:ilvl w:val="0"/>
          <w:numId w:val="2"/>
        </w:numPr>
        <w:spacing w:after="60"/>
      </w:pPr>
      <w:r>
        <w:rPr>
          <w:b/>
          <w:bCs/>
        </w:rPr>
        <w:t xml:space="preserve">/tmp/soc_kill_switch is a poor path. </w:t>
      </w:r>
      <w:r>
        <w:t xml:space="preserve">World-writable /tmp, cleared on reboot, collides across instances. The mechanism is right; use a controlled, persistent, permissioned location plus a Redis/DB halt signal (CyberGuard runs multiple workers, so file-polling on one host is insufficient — a platform-level halt is required).</w:t>
      </w:r>
    </w:p>
    <w:p>
      <w:pPr>
        <w:pStyle w:val="ListParagraph"/>
        <w:numPr>
          <w:ilvl w:val="0"/>
          <w:numId w:val="2"/>
        </w:numPr>
        <w:spacing w:after="60"/>
      </w:pPr>
      <w:r>
        <w:rPr>
          <w:b/>
          <w:bCs/>
        </w:rPr>
        <w:t xml:space="preserve">“Repo-root YAML” does not fit the architecture. </w:t>
      </w:r>
      <w:r>
        <w:t xml:space="preserve">CyberGuard agents are DB-configured and created at runtime. The declarative-governance intent is correct, but it should be realised as DB-backed governance config plus action-category/risk tags in the tool registry — not a static per-repo file.</w:t>
      </w:r>
    </w:p>
    <w:p>
      <w:pPr>
        <w:pStyle w:val="ListParagraph"/>
        <w:numPr>
          <w:ilvl w:val="0"/>
          <w:numId w:val="2"/>
        </w:numPr>
        <w:spacing w:after="60"/>
      </w:pPr>
      <w:r>
        <w:rPr>
          <w:b/>
          <w:bCs/>
        </w:rPr>
        <w:t xml:space="preserve">“WORM or signed” audit is correct for a bank </w:t>
      </w:r>
      <w:r>
        <w:t xml:space="preserve">but is exactly what the current DB-table audit fails. This is a genuine gap to close, not a documentation nuance.</w:t>
      </w:r>
    </w:p>
    <w:p>
      <w:pPr>
        <w:pStyle w:val="ListParagraph"/>
        <w:numPr>
          <w:ilvl w:val="0"/>
          <w:numId w:val="2"/>
        </w:numPr>
        <w:spacing w:after="60"/>
      </w:pPr>
      <w:r>
        <w:rPr>
          <w:b/>
          <w:bCs/>
        </w:rPr>
        <w:t xml:space="preserve">Editorial: </w:t>
      </w:r>
      <w:r>
        <w:t xml:space="preserve">v1.0 First Draft contains typos (“Manadatory”), a blank “Approved date”, and ambiguous override wording. Recommend a clean-up pass before publication.</w:t>
      </w:r>
    </w:p>
    <w:p>
      <w:pPr>
        <w:pStyle w:val="Heading3"/>
        <w:spacing w:after="80" w:before="160"/>
      </w:pPr>
      <w:r>
        <w:t xml:space="preserve">4.2 Conclusion on applicability</w:t>
      </w:r>
    </w:p>
    <w:p>
      <w:pPr>
        <w:spacing w:after="120" w:before="0"/>
      </w:pPr>
      <w:r>
        <w:t xml:space="preserve">If CyberGuard is to be deployed at NDB for security automation, the Standard </w:t>
      </w:r>
      <w:r>
        <w:rPr>
          <w:b/>
          <w:bCs/>
        </w:rPr>
        <w:t xml:space="preserve">applies and should be adopted</w:t>
      </w:r>
      <w:r>
        <w:t xml:space="preserve"> — implemented as control objectives that fit the platform. The three highest-priority, largest gaps are the Kill Switch, the Action Gatekeeper (with category + risk mapping), and Audit hardening (append-only + hash chain). The Approval Gate already substantially conforms and needs only minor alignment.</w:t>
      </w:r>
    </w:p>
    <w:p>
      <w:pPr>
        <w:pStyle w:val="Heading1"/>
        <w:spacing w:after="140" w:before="280"/>
      </w:pPr>
      <w:r>
        <w:t xml:space="preserve">5. Prioritised Remediation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060"/>
        <w:gridCol w:w="1200"/>
      </w:tblGrid>
      <w:tr>
        <w:trPr>
          <w:tblHeader/>
        </w:trPr>
        <w:tc>
          <w:tcPr>
            <w:tcW w:type="dxa" w:w="900"/>
            <w:tcBorders>
              <w:top w:val="single" w:color="B4C2D8" w:sz="4"/>
              <w:left w:val="single" w:color="B4C2D8" w:sz="4"/>
              <w:bottom w:val="single" w:color="B4C2D8" w:sz="4"/>
              <w:right w:val="single" w:color="B4C2D8" w:sz="4"/>
            </w:tcBorders>
            <w:shd w:fill="1F3864" w:color="auto" w:val="clear"/>
            <w:tcMar>
              <w:top w:type="dxa" w:w="60"/>
              <w:left w:type="dxa" w:w="110"/>
              <w:bottom w:type="dxa" w:w="60"/>
              <w:right w:type="dxa" w:w="110"/>
            </w:tcMar>
          </w:tcPr>
          <w:p>
            <w:pPr>
              <w:jc w:val="left"/>
            </w:pPr>
            <w:r>
              <w:rPr>
                <w:b/>
                <w:bCs/>
                <w:color w:val="FFFFFF"/>
                <w:sz w:val="18"/>
                <w:szCs w:val="18"/>
              </w:rPr>
              <w:t xml:space="preserve">Priority</w:t>
            </w:r>
          </w:p>
        </w:tc>
        <w:tc>
          <w:tcPr>
            <w:tcW w:type="dxa" w:w="2200"/>
            <w:tcBorders>
              <w:top w:val="single" w:color="B4C2D8" w:sz="4"/>
              <w:left w:val="single" w:color="B4C2D8" w:sz="4"/>
              <w:bottom w:val="single" w:color="B4C2D8" w:sz="4"/>
              <w:right w:val="single" w:color="B4C2D8" w:sz="4"/>
            </w:tcBorders>
            <w:shd w:fill="1F3864" w:color="auto" w:val="clear"/>
            <w:tcMar>
              <w:top w:type="dxa" w:w="60"/>
              <w:left w:type="dxa" w:w="110"/>
              <w:bottom w:type="dxa" w:w="60"/>
              <w:right w:type="dxa" w:w="110"/>
            </w:tcMar>
          </w:tcPr>
          <w:p>
            <w:pPr>
              <w:jc w:val="left"/>
            </w:pPr>
            <w:r>
              <w:rPr>
                <w:b/>
                <w:bCs/>
                <w:color w:val="FFFFFF"/>
                <w:sz w:val="18"/>
                <w:szCs w:val="18"/>
              </w:rPr>
              <w:t xml:space="preserve">Gap</w:t>
            </w:r>
          </w:p>
        </w:tc>
        <w:tc>
          <w:tcPr>
            <w:tcW w:type="dxa" w:w="5060"/>
            <w:tcBorders>
              <w:top w:val="single" w:color="B4C2D8" w:sz="4"/>
              <w:left w:val="single" w:color="B4C2D8" w:sz="4"/>
              <w:bottom w:val="single" w:color="B4C2D8" w:sz="4"/>
              <w:right w:val="single" w:color="B4C2D8" w:sz="4"/>
            </w:tcBorders>
            <w:shd w:fill="1F3864" w:color="auto" w:val="clear"/>
            <w:tcMar>
              <w:top w:type="dxa" w:w="60"/>
              <w:left w:type="dxa" w:w="110"/>
              <w:bottom w:type="dxa" w:w="60"/>
              <w:right w:type="dxa" w:w="110"/>
            </w:tcMar>
          </w:tcPr>
          <w:p>
            <w:pPr>
              <w:jc w:val="left"/>
            </w:pPr>
            <w:r>
              <w:rPr>
                <w:b/>
                <w:bCs/>
                <w:color w:val="FFFFFF"/>
                <w:sz w:val="18"/>
                <w:szCs w:val="18"/>
              </w:rPr>
              <w:t xml:space="preserve">Recommended action (architecture-fit)</w:t>
            </w:r>
          </w:p>
        </w:tc>
        <w:tc>
          <w:tcPr>
            <w:tcW w:type="dxa" w:w="1200"/>
            <w:tcBorders>
              <w:top w:val="single" w:color="B4C2D8" w:sz="4"/>
              <w:left w:val="single" w:color="B4C2D8" w:sz="4"/>
              <w:bottom w:val="single" w:color="B4C2D8" w:sz="4"/>
              <w:right w:val="single" w:color="B4C2D8" w:sz="4"/>
            </w:tcBorders>
            <w:shd w:fill="1F3864" w:color="auto" w:val="clear"/>
            <w:tcMar>
              <w:top w:type="dxa" w:w="60"/>
              <w:left w:type="dxa" w:w="110"/>
              <w:bottom w:type="dxa" w:w="60"/>
              <w:right w:type="dxa" w:w="110"/>
            </w:tcMar>
          </w:tcPr>
          <w:p>
            <w:pPr>
              <w:jc w:val="left"/>
            </w:pPr>
            <w:r>
              <w:rPr>
                <w:b/>
                <w:bCs/>
                <w:color w:val="FFFFFF"/>
                <w:sz w:val="18"/>
                <w:szCs w:val="18"/>
              </w:rPr>
              <w:t xml:space="preserve">Effort</w:t>
            </w:r>
          </w:p>
        </w:tc>
      </w:tr>
      <w:tr>
        <w:tc>
          <w:tcPr>
            <w:tcW w:type="dxa" w:w="9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P0</w:t>
            </w:r>
          </w:p>
        </w:tc>
        <w:tc>
          <w:tcPr>
            <w:tcW w:type="dxa" w:w="22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Kill Switch (B3)</w:t>
            </w:r>
          </w:p>
        </w:tc>
        <w:tc>
          <w:tcPr>
            <w:tcW w:type="dxa" w:w="506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Platform-level halt: Redis halt flag + DB fallback, checked at the execute_tool() chokepoint and polled by a background task; POST /agents/halt API + dashboard button; emit EMERGENCY_HALT to audit.</w:t>
            </w:r>
          </w:p>
        </w:tc>
        <w:tc>
          <w:tcPr>
            <w:tcW w:type="dxa" w:w="12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M</w:t>
            </w:r>
          </w:p>
        </w:tc>
      </w:tr>
      <w:tr>
        <w:tc>
          <w:tcPr>
            <w:tcW w:type="dxa" w:w="9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P0</w:t>
            </w:r>
          </w:p>
        </w:tc>
        <w:tc>
          <w:tcPr>
            <w:tcW w:type="dxa" w:w="22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Action Gatekeeper + taxonomy (B2, A1–A4)</w:t>
            </w:r>
          </w:p>
        </w:tc>
        <w:tc>
          <w:tcPr>
            <w:tcW w:type="dxa" w:w="506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Tag every tool with action_category + risk_tier; add a single gatekeeper_check() inside execute_tool() enforcing halt → category allow-list → risk routing → rate-limit → approval; return ALLOW/DENY/NEEDS_APPROVAL.</w:t>
            </w:r>
          </w:p>
        </w:tc>
        <w:tc>
          <w:tcPr>
            <w:tcW w:type="dxa" w:w="12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L</w:t>
            </w:r>
          </w:p>
        </w:tc>
      </w:tr>
      <w:tr>
        <w:tc>
          <w:tcPr>
            <w:tcW w:type="dxa" w:w="9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P0</w:t>
            </w:r>
          </w:p>
        </w:tc>
        <w:tc>
          <w:tcPr>
            <w:tcW w:type="dxa" w:w="22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Audit hardening (B4)</w:t>
            </w:r>
          </w:p>
        </w:tc>
        <w:tc>
          <w:tcPr>
            <w:tcW w:type="dxa" w:w="506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Append-only audit table with per-record hash chain (prev_hash) + the Standard’s full field set; synchronous write for action events; restrict deletes; optional WORM/object-lock export.</w:t>
            </w:r>
          </w:p>
        </w:tc>
        <w:tc>
          <w:tcPr>
            <w:tcW w:type="dxa" w:w="12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M</w:t>
            </w:r>
          </w:p>
        </w:tc>
      </w:tr>
      <w:tr>
        <w:tc>
          <w:tcPr>
            <w:tcW w:type="dxa" w:w="9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P1</w:t>
            </w:r>
          </w:p>
        </w:tc>
        <w:tc>
          <w:tcPr>
            <w:tcW w:type="dxa" w:w="22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PII redaction (A5)</w:t>
            </w:r>
          </w:p>
        </w:tc>
        <w:tc>
          <w:tcPr>
            <w:tcW w:type="dxa" w:w="506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Pre-LLM redaction filter on agent inputs in llm_router; secrets-blocking deny-list; record redaction proof for the POC.</w:t>
            </w:r>
          </w:p>
        </w:tc>
        <w:tc>
          <w:tcPr>
            <w:tcW w:type="dxa" w:w="12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M</w:t>
            </w:r>
          </w:p>
        </w:tc>
      </w:tr>
      <w:tr>
        <w:tc>
          <w:tcPr>
            <w:tcW w:type="dxa" w:w="9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P1</w:t>
            </w:r>
          </w:p>
        </w:tc>
        <w:tc>
          <w:tcPr>
            <w:tcW w:type="dxa" w:w="22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Safety Envelope (B6)</w:t>
            </w:r>
          </w:p>
        </w:tc>
        <w:tc>
          <w:tcPr>
            <w:tcW w:type="dxa" w:w="506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rollback_registry with register(action_id, rollback_fn, ttl); pre/post checks for contain/remediate; page on rollback failure.</w:t>
            </w:r>
          </w:p>
        </w:tc>
        <w:tc>
          <w:tcPr>
            <w:tcW w:type="dxa" w:w="12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L</w:t>
            </w:r>
          </w:p>
        </w:tc>
      </w:tr>
      <w:tr>
        <w:tc>
          <w:tcPr>
            <w:tcW w:type="dxa" w:w="9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P1</w:t>
            </w:r>
          </w:p>
        </w:tc>
        <w:tc>
          <w:tcPr>
            <w:tcW w:type="dxa" w:w="22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Governance config (B1)</w:t>
            </w:r>
          </w:p>
        </w:tc>
        <w:tc>
          <w:tcPr>
            <w:tcW w:type="dxa" w:w="506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DB-backed per-agent governance record (autonomy_tier, allowed_actions, thresholds, kill_switch_enabled) surfaced in the WebUI; export to the Standard’s YAML shape for auditor delivery.</w:t>
            </w:r>
          </w:p>
        </w:tc>
        <w:tc>
          <w:tcPr>
            <w:tcW w:type="dxa" w:w="1200"/>
            <w:tcBorders>
              <w:top w:val="single" w:color="B4C2D8" w:sz="4"/>
              <w:left w:val="single" w:color="B4C2D8" w:sz="4"/>
              <w:bottom w:val="single" w:color="B4C2D8" w:sz="4"/>
              <w:right w:val="single" w:color="B4C2D8" w:sz="4"/>
            </w:tcBorders>
            <w:shd w:fill="F2F5FA" w:color="auto" w:val="clear"/>
            <w:tcMar>
              <w:top w:type="dxa" w:w="60"/>
              <w:left w:type="dxa" w:w="110"/>
              <w:bottom w:type="dxa" w:w="60"/>
              <w:right w:type="dxa" w:w="110"/>
            </w:tcMar>
          </w:tcPr>
          <w:p>
            <w:r>
              <w:rPr>
                <w:b w:val="false"/>
                <w:bCs w:val="false"/>
                <w:sz w:val="18"/>
                <w:szCs w:val="18"/>
              </w:rPr>
              <w:t xml:space="preserve">M</w:t>
            </w:r>
          </w:p>
        </w:tc>
      </w:tr>
      <w:tr>
        <w:tc>
          <w:tcPr>
            <w:tcW w:type="dxa" w:w="9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P2</w:t>
            </w:r>
          </w:p>
        </w:tc>
        <w:tc>
          <w:tcPr>
            <w:tcW w:type="dxa" w:w="22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Approval Gate alignment (B5)</w:t>
            </w:r>
          </w:p>
        </w:tc>
        <w:tc>
          <w:tcPr>
            <w:tcW w:type="dxa" w:w="506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Set default approval timeout to 300s for security actions; remove/guard the auto-approve dev path so timeout always escalates; ensure human ID is logged.</w:t>
            </w:r>
          </w:p>
        </w:tc>
        <w:tc>
          <w:tcPr>
            <w:tcW w:type="dxa" w:w="1200"/>
            <w:tcBorders>
              <w:top w:val="single" w:color="B4C2D8" w:sz="4"/>
              <w:left w:val="single" w:color="B4C2D8" w:sz="4"/>
              <w:bottom w:val="single" w:color="B4C2D8" w:sz="4"/>
              <w:right w:val="single" w:color="B4C2D8" w:sz="4"/>
            </w:tcBorders>
            <w:tcMar>
              <w:top w:type="dxa" w:w="60"/>
              <w:left w:type="dxa" w:w="110"/>
              <w:bottom w:type="dxa" w:w="60"/>
              <w:right w:type="dxa" w:w="110"/>
            </w:tcMar>
          </w:tcPr>
          <w:p>
            <w:r>
              <w:rPr>
                <w:b w:val="false"/>
                <w:bCs w:val="false"/>
                <w:sz w:val="18"/>
                <w:szCs w:val="18"/>
              </w:rPr>
              <w:t xml:space="preserve">S</w:t>
            </w:r>
          </w:p>
        </w:tc>
      </w:tr>
    </w:tbl>
    <w:p>
      <w:pPr>
        <w:spacing w:after="120" w:before="80"/>
      </w:pPr>
      <w:r>
        <w:rPr>
          <w:i/>
          <w:iCs/>
          <w:sz w:val="18"/>
          <w:szCs w:val="18"/>
        </w:rPr>
        <w:t xml:space="preserve">Effort key: </w:t>
      </w:r>
      <w:r>
        <w:rPr>
          <w:i/>
          <w:iCs/>
          <w:sz w:val="18"/>
          <w:szCs w:val="18"/>
        </w:rPr>
        <w:t xml:space="preserve">S = small (hours), M = medium (1–2 days), L = large (multi-day).</w:t>
      </w:r>
    </w:p>
    <w:p>
      <w:pPr>
        <w:spacing w:after="120" w:before="240"/>
      </w:pPr>
      <w:r>
        <w:rPr>
          <w:i/>
          <w:iCs/>
          <w:color w:val="595959"/>
          <w:sz w:val="18"/>
          <w:szCs w:val="18"/>
        </w:rPr>
        <w:t xml:space="preserve">Prepared by CyberGuard engineering for NDB IT Security. This report reflects the codebase at assessment time and the Standard at v1.0 draft.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AI Agent Governance — Compliance Gap Assessment</w:t>
    </w:r>
    <w:r>
      <w:rPr>
        <w:color w:val="595959"/>
        <w:sz w:val="16"/>
        <w:szCs w:val="16"/>
      </w:rPr>
      <w:t xml:space="preserve">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NDB —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Governance — Compliance Gap Assessment</dc:title>
  <dc:creator>CyberGuard</dc:creator>
  <cp:lastModifiedBy>Un-named</cp:lastModifiedBy>
  <cp:revision>1</cp:revision>
  <dcterms:created xsi:type="dcterms:W3CDTF">2026-06-09T08:46:30.587Z</dcterms:created>
  <dcterms:modified xsi:type="dcterms:W3CDTF">2026-06-09T08:46:30.588Z</dcterms:modified>
</cp:coreProperties>
</file>

<file path=docProps/custom.xml><?xml version="1.0" encoding="utf-8"?>
<Properties xmlns="http://schemas.openxmlformats.org/officeDocument/2006/custom-properties" xmlns:vt="http://schemas.openxmlformats.org/officeDocument/2006/docPropsVTypes"/>
</file>