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  <w:drawing>
          <wp:inline distT="0" distB="0" distL="0" distR="0">
            <wp:extent cx="1666875" cy="7493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4" r="-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4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51"/>
        <w:jc w:val="center"/>
        <w:rPr>
          <w:rFonts w:ascii="Book Antiqua" w:hAnsi="Book Antiqua" w:cs="Book Antiqua"/>
          <w:lang w:val="en-US" w:eastAsia="en-US"/>
        </w:rPr>
      </w:pPr>
      <w:r>
        <w:rPr>
          <w:rFonts w:cs="Book Antiqua" w:ascii="Book Antiqua" w:hAnsi="Book Antiqua"/>
          <w:lang w:val="en-US" w:eastAsia="en-US"/>
        </w:rPr>
      </w:r>
    </w:p>
    <w:p>
      <w:pPr>
        <w:pStyle w:val="Footer"/>
        <w:ind w:end="51"/>
        <w:jc w:val="center"/>
        <w:rPr/>
      </w:pP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CURITIBA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SÃO PAULO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RIO DE JANEIRO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BELO HORIZONTE  </w:t>
      </w:r>
      <w:r>
        <w:rPr>
          <w:rFonts w:cs="Book Antiqua" w:ascii="Book Antiqua" w:hAnsi="Book Antiqua"/>
          <w:color w:val="000000"/>
          <w:spacing w:val="30"/>
          <w:sz w:val="10"/>
          <w:szCs w:val="12"/>
          <w:lang w:val="en-US" w:eastAsia="en-US"/>
        </w:rPr>
        <w:t>│</w:t>
      </w:r>
      <w:r>
        <w:rPr>
          <w:rFonts w:cs="Latha" w:ascii="Book Antiqua" w:hAnsi="Book Antiqua"/>
          <w:color w:val="000000"/>
          <w:spacing w:val="30"/>
          <w:sz w:val="10"/>
          <w:szCs w:val="12"/>
          <w:lang w:val="en-US" w:eastAsia="en-US"/>
        </w:rPr>
        <w:t xml:space="preserve">  BRASILIA</w:t>
      </w:r>
    </w:p>
    <w:p>
      <w:pPr>
        <w:pStyle w:val="Footer"/>
        <w:ind w:end="51"/>
        <w:jc w:val="center"/>
        <w:rPr/>
      </w:pPr>
      <w:r>
        <w:rPr>
          <w:rFonts w:cs="Linux Libertine Display G;Cambria" w:ascii="Book Antiqua" w:hAnsi="Book Antiqua"/>
          <w:lang w:val="en-US" w:eastAsia="en-US"/>
        </w:rPr>
        <w:t>_________________________________________________________________________________</w:t>
      </w:r>
    </w:p>
    <w:p>
      <w:pPr>
        <w:pStyle w:val="Heading1"/>
        <w:ind w:hanging="0" w:start="0" w:end="51"/>
        <w:rPr>
          <w:rFonts w:ascii="Book Antiqua" w:hAnsi="Book Antiqua" w:cs="Arial"/>
          <w:sz w:val="24"/>
          <w:szCs w:val="24"/>
        </w:rPr>
      </w:pPr>
      <w:r>
        <w:rPr>
          <w:rFonts w:cs="Arial" w:ascii="Book Antiqua" w:hAnsi="Book Antiqua"/>
          <w:sz w:val="24"/>
          <w:szCs w:val="24"/>
        </w:rPr>
        <w:t>CONTRATO DE HONORÁRIOS</w:t>
      </w:r>
    </w:p>
    <w:p>
      <w:pPr>
        <w:pStyle w:val="Normal"/>
        <w:ind w:end="51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szCs w:val="22"/>
        </w:rPr>
        <w:t xml:space="preserve">Pelo presente Instrumento particular de Contrato de Honorários Advocatícios, os Infra-assinados, de </w:t>
      </w:r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</w:rPr>
        <w:t>, {{OUTORGANTE_QUALIFICACAO}}</w:t>
      </w:r>
      <w:r>
        <w:rPr>
          <w:rFonts w:cs="Arial" w:ascii="Book Antiqua" w:hAnsi="Book Antiqua"/>
          <w:b/>
          <w:bCs/>
          <w:u w:val="single"/>
        </w:rPr>
        <w:t xml:space="preserve"/>
      </w:r>
      <w:r>
        <w:rPr>
          <w:rFonts w:cs="Arial" w:ascii="Book Antiqua" w:hAnsi="Book Antiqua"/>
          <w:bCs/>
        </w:rPr>
        <w:t/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1843" w:leader="none"/>
        </w:tabs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</w:rPr>
        <w:t xml:space="preserve"> e de outro lado como CONTRATADOS, o escritório de advocacia </w:t>
      </w:r>
      <w:r>
        <w:rPr>
          <w:rFonts w:cs="Arial" w:ascii="Book Antiqua" w:hAnsi="Book Antiqua"/>
          <w:b/>
        </w:rPr>
        <w:t>SUTTILE &amp; VACISKI ADVOGADOS E ASSOCIADOS</w:t>
      </w:r>
      <w:r>
        <w:rPr>
          <w:rFonts w:cs="Arial" w:ascii="Book Antiqua" w:hAnsi="Book Antiqua"/>
        </w:rPr>
        <w:t>, estabelecido à Rua Visconde do Rio Branco, 1322, 8º andar, Centro, CEP. 80.420-210, Curitiba</w:t>
      </w:r>
      <w:r>
        <w:rPr>
          <w:rFonts w:cs="Arial" w:ascii="Book Antiqua" w:hAnsi="Book Antiqua"/>
          <w:b/>
          <w:bCs/>
        </w:rPr>
        <w:t xml:space="preserve"> – </w:t>
      </w:r>
      <w:r>
        <w:rPr>
          <w:rFonts w:cs="Arial" w:ascii="Book Antiqua" w:hAnsi="Book Antiqua"/>
        </w:rPr>
        <w:t>Paraná, fone: (41) 3015-7775, tem pela presente e melhor forma de Direito, justos e contratados o seguinte:</w:t>
      </w:r>
    </w:p>
    <w:p>
      <w:pPr>
        <w:pStyle w:val="Normal"/>
        <w:ind w:end="51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PRIMEIRA</w:t>
      </w:r>
      <w:r>
        <w:rPr>
          <w:rFonts w:cs="Arial" w:ascii="Book Antiqua" w:hAnsi="Book Antiqua"/>
        </w:rPr>
        <w:t xml:space="preserve"> – O contratante contrata os serviços profissionais dos advogados da contratada constante na procuração, para o fim especial de intentar Ação Declaratória cumulada com Repetição de Indébito Tributário a ser movida em face do Município de {{REU}}.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SEGUNDA</w:t>
      </w:r>
      <w:r>
        <w:rPr>
          <w:rFonts w:cs="Arial" w:ascii="Book Antiqua" w:hAnsi="Book Antiqua"/>
        </w:rPr>
        <w:t xml:space="preserve"> - O contratante pagará à contratada, a título de honorários o valor correspondente ao percentual de </w:t>
      </w:r>
      <w:r>
        <w:rPr>
          <w:rFonts w:cs="Arial" w:ascii="Book Antiqua" w:hAnsi="Book Antiqua"/>
          <w:b/>
        </w:rPr>
        <w:t>{{PERCENTUAL}}</w:t>
      </w:r>
      <w:r>
        <w:rPr>
          <w:rFonts w:cs="Arial" w:ascii="Book Antiqua" w:hAnsi="Book Antiqua"/>
        </w:rPr>
        <w:t>, incidentes sobre o montante bruto que vier a ser pago ao autor em razão da Ação Declaratória de Não Incidência de ISSQN cumulada com Repetição de Indébito Tributário a ser movida em face do Município de {{REU}}. Os honorários contratuais, não se confundem com os honorários sucumbenciais, sendo estes devidos aos procuradores que patrocinaram a ação, se houver condenação em tal sentido.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u w:val="single"/>
        </w:rPr>
        <w:t>Não estão inclusos nos honorários acima convencionados quaisquer despesas judiciais ou extrajudiciais necessárias à lide, indispensáveis ao bom andamento da ação.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  <w:bCs/>
          <w:color w:val="000000"/>
        </w:rPr>
        <w:t>PARÁGRAFO PRIMEIRO</w:t>
      </w:r>
      <w:r>
        <w:rPr>
          <w:rFonts w:cs="Arial" w:ascii="Book Antiqua" w:hAnsi="Book Antiqua"/>
          <w:color w:val="000000"/>
        </w:rPr>
        <w:t xml:space="preserve"> – O contratante desde já autoriza o contratado a deduzir/reter os honorários previstos na cláusula segunda, inclusive o contido no parágrafo primeiro da mesma cláusula, sobre a integralidade do crédito bruto do autor conforme artigo 35 do Código de Ética da OAB.</w:t>
      </w:r>
    </w:p>
    <w:p>
      <w:pPr>
        <w:pStyle w:val="Normal"/>
        <w:ind w:end="51"/>
        <w:jc w:val="both"/>
        <w:rPr>
          <w:rFonts w:ascii="Book Antiqua" w:hAnsi="Book Antiqua" w:cs="Arial"/>
          <w:color w:val="000000"/>
        </w:rPr>
      </w:pPr>
      <w:r>
        <w:rPr>
          <w:rFonts w:cs="Arial" w:ascii="Book Antiqua" w:hAnsi="Book Antiqua"/>
          <w:color w:val="000000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TERCEIRA</w:t>
      </w:r>
      <w:r>
        <w:rPr>
          <w:rFonts w:cs="Arial" w:ascii="Book Antiqua" w:hAnsi="Book Antiqua"/>
        </w:rPr>
        <w:t xml:space="preserve"> - Caso seja a Reclamação julgada improcedente, nenhum valor será devido pelo Contratante ao Contratado, a título de honorários contratuais, bem como de despesas de viagens (hotel, alimentação, transporte), não o isentando, porém, de eventual condenação em honorários advocatícios sucumbenciais à parte adversa, se houver condenação em tal sentido, bem como custas processuais se a parte não for beneficiária da justiça gratuita.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QUARTA</w:t>
      </w:r>
      <w:r>
        <w:rPr>
          <w:rFonts w:cs="Arial" w:ascii="Book Antiqua" w:hAnsi="Book Antiqua"/>
        </w:rPr>
        <w:t xml:space="preserve"> - Considerar-se-á devido e vencido, em favor do contratado, o percentual mencionado na cláusula 2ª, a incidir sobre o montante total da ação, mais correção monetária e juros legais, exigíveis de imediato, se o contratante revogar, tácita ou expressamente o mandato antes de terminada a causa, ou transigir de qualquer forma com a parte contrária, sem a assistência expressa dos contratados.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  <w:b/>
        </w:rPr>
        <w:t>CLÁUSULA QUINTA</w:t>
      </w:r>
      <w:r>
        <w:rPr>
          <w:rFonts w:cs="Arial" w:ascii="Book Antiqua" w:hAnsi="Book Antiqua"/>
        </w:rPr>
        <w:t xml:space="preserve"> – O sócio da Contratante autoriza o Contratado a divulgar a sua Imagem como cliente em apresentações do Contratado. 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  <w:b/>
        </w:rPr>
        <w:t>CLÁUSULA SEXTA</w:t>
      </w:r>
      <w:r>
        <w:rPr>
          <w:rFonts w:cs="Arial" w:ascii="Book Antiqua" w:hAnsi="Book Antiqua"/>
        </w:rPr>
        <w:t xml:space="preserve"> - Em caso de eventuais discussões sobre o presente contrato, as partes desde já elegem o foro da cidade de Curitiba/PR. E por estarem justos e contratados, assinam o presente em duas vias, de um só teor e forma e para um só efeito, em presença de duas testemunhas abaixo.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Curitiba/PR, {{DATA}}.</w:t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  <w:t>Contratante:__________________________</w:t>
        <w:tab/>
        <w:t>Contratado:_____________________________</w:t>
      </w:r>
    </w:p>
    <w:p>
      <w:pPr>
        <w:pStyle w:val="Normal"/>
        <w:tabs>
          <w:tab w:val="clear" w:pos="708"/>
          <w:tab w:val="left" w:pos="4962" w:leader="none"/>
        </w:tabs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end="51"/>
        <w:jc w:val="both"/>
        <w:rPr/>
      </w:pPr>
      <w:r>
        <w:rPr>
          <w:rFonts w:cs="Arial" w:ascii="Book Antiqua" w:hAnsi="Book Antiqua"/>
        </w:rPr>
        <w:t>Testemunha:__________________________</w:t>
        <w:tab/>
        <w:t>Testemunha:_____________________________</w:t>
      </w:r>
    </w:p>
    <w:p>
      <w:pPr>
        <w:pStyle w:val="Normal"/>
        <w:ind w:end="51"/>
        <w:jc w:val="both"/>
        <w:rPr>
          <w:rFonts w:ascii="Book Antiqua" w:hAnsi="Book Antiqua" w:cs="Book Antiqua"/>
          <w:sz w:val="28"/>
        </w:rPr>
      </w:pPr>
      <w:r>
        <w:rPr>
          <w:rFonts w:cs="Book Antiqua" w:ascii="Book Antiqua" w:hAnsi="Book Antiqua"/>
          <w:sz w:val="28"/>
        </w:rPr>
      </w:r>
    </w:p>
    <w:sectPr>
      <w:headerReference w:type="default" r:id="rId3"/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agabond">
    <w:altName w:val="Calibri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Arial Unicode MS"/>
      </w:rPr>
    </w:pPr>
    <w:r>
      <w:rPr>
        <w:rFonts w:eastAsia="Arial Unicode MS"/>
      </w:rPr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agabond;Calibri" w:hAnsi="Vagabond;Calibri" w:eastAsia="Times New Roman" w:cs="Vagabond;Calibri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  <w:szCs w:val="28"/>
      <w:u w:val="single"/>
    </w:rPr>
  </w:style>
  <w:style w:type="character" w:styleId="Fontepargpadro">
    <w:name w:val="Fonte parág. padrão"/>
    <w:qFormat/>
    <w:rPr/>
  </w:style>
  <w:style w:type="character" w:styleId="RodapChar">
    <w:name w:val="Rodapé Char"/>
    <w:qFormat/>
    <w:rPr>
      <w:rFonts w:ascii="Vagabond;Calibri" w:hAnsi="Vagabond;Calibri" w:cs="Vagabond;Calibri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widowControl/>
      <w:autoSpaceDE w:val="true"/>
      <w:jc w:val="both"/>
    </w:pPr>
    <w:rPr>
      <w:rFonts w:ascii="Times New Roman" w:hAnsi="Times New Roman" w:cs="Times New Roman"/>
      <w:szCs w:val="20"/>
    </w:rPr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BodyTextIndent">
    <w:name w:val="Body Text Indent"/>
    <w:basedOn w:val="Normal"/>
    <w:pPr>
      <w:ind w:hanging="0" w:start="1134" w:end="0"/>
      <w:jc w:val="both"/>
    </w:pPr>
    <w:rPr>
      <w:rFonts w:ascii="Arial" w:hAnsi="Arial" w:cs="Arial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2026-01-06T10:40:00Z</dcterms:created>
  <dc:creator>Luciana C. S. Amorim</dc:creator>
  <dc:description/>
  <cp:keywords/>
  <dc:language>en-US</dc:language>
  <cp:lastModifiedBy>Pedro Henrique Pontarolo Zaithammer</cp:lastModifiedBy>
  <cp:lastPrinted>2025-07-23T13:30:00Z</cp:lastPrinted>
  <dcterms:modified xsi:type="dcterms:W3CDTF">2026-01-06T10:40:00Z</dcterms:modified>
  <cp:revision>2</cp:revision>
  <dc:subject/>
  <dc:title>CONTRATO DE HONORÁRIOS</dc:title>
</cp:coreProperties>
</file>