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0"/>
      </w:pPr>
      <w:r>
        <w:t xml:space="preserve"/>
      </w:r>
    </w:p>
    <w:p>
      <w:pPr>
        <w:spacing w:before="0" w:after="80"/>
      </w:pPr>
      <w:r>
        <w:rPr>
          <w:rFonts w:ascii="Arial" w:cs="Arial" w:eastAsia="Arial" w:hAnsi="Arial"/>
          <w:b/>
          <w:bCs/>
          <w:color w:val="1D9E75"/>
          <w:sz w:val="18"/>
          <w:szCs w:val="18"/>
        </w:rPr>
        <w:t xml:space="preserve">CASE STUDY</w:t>
      </w:r>
    </w:p>
    <w:p>
      <w:pPr>
        <w:spacing w:before="0" w:after="120"/>
      </w:pPr>
      <w:r>
        <w:rPr>
          <w:rFonts w:ascii="Arial" w:cs="Arial" w:eastAsia="Arial" w:hAnsi="Arial"/>
          <w:b/>
          <w:bCs/>
          <w:color w:val="1A1A1A"/>
          <w:sz w:val="44"/>
          <w:szCs w:val="44"/>
        </w:rPr>
        <w:t xml:space="preserve">Designing Essentials: building a health insurance product from zero in six months</w:t>
      </w:r>
    </w:p>
    <w:p>
      <w:pPr>
        <w:spacing w:before="0" w:after="200"/>
      </w:pPr>
      <w:r>
        <w:rPr>
          <w:rFonts w:ascii="Arial" w:cs="Arial" w:eastAsia="Arial" w:hAnsi="Arial"/>
          <w:color w:val="6B6B6B"/>
          <w:sz w:val="22"/>
          <w:szCs w:val="22"/>
        </w:rPr>
        <w:t xml:space="preserve">How UX leadership, rapid experimentation and team restructuring helped launch a fully digital health insurer — and then scale it — in a highly regulated industry with no room for mistakes.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EAF5F0" w:val="clear"/>
            <w:tcMar>
              <w:top w:type="dxa" w:w="80"/>
              <w:left w:type="dxa" w:w="100"/>
              <w:bottom w:type="dxa" w:w="80"/>
              <w:right w:type="dxa" w:w="100"/>
            </w:tcMar>
          </w:tcPr>
          <w:p>
            <w:pPr>
              <w:jc w:val="center"/>
            </w:pPr>
            <w:r>
              <w:rPr>
                <w:rFonts w:ascii="Arial" w:cs="Arial" w:eastAsia="Arial" w:hAnsi="Arial"/>
                <w:b/>
                <w:bCs/>
                <w:color w:val="0B6E4F"/>
                <w:sz w:val="18"/>
                <w:szCs w:val="18"/>
              </w:rPr>
              <w:t xml:space="preserve">Product Design Leadership</w:t>
            </w:r>
          </w:p>
        </w:tc>
        <w:tc>
          <w:tcPr>
            <w:tcW w:type="dxa" w:w="1872"/>
            <w:tcBorders>
              <w:top w:val="none" w:color="FFFFFF" w:sz="0"/>
              <w:left w:val="none" w:color="FFFFFF" w:sz="0"/>
              <w:bottom w:val="none" w:color="FFFFFF" w:sz="0"/>
              <w:right w:val="none" w:color="FFFFFF" w:sz="0"/>
            </w:tcBorders>
            <w:shd w:fill="EAF5F0" w:val="clear"/>
            <w:tcMar>
              <w:top w:type="dxa" w:w="80"/>
              <w:left w:type="dxa" w:w="100"/>
              <w:bottom w:type="dxa" w:w="80"/>
              <w:right w:type="dxa" w:w="100"/>
            </w:tcMar>
          </w:tcPr>
          <w:p>
            <w:pPr>
              <w:jc w:val="center"/>
            </w:pPr>
            <w:r>
              <w:rPr>
                <w:rFonts w:ascii="Arial" w:cs="Arial" w:eastAsia="Arial" w:hAnsi="Arial"/>
                <w:b/>
                <w:bCs/>
                <w:color w:val="0B6E4F"/>
                <w:sz w:val="18"/>
                <w:szCs w:val="18"/>
              </w:rPr>
              <w:t xml:space="preserve">A/B Testing &amp; Experimentation</w:t>
            </w:r>
          </w:p>
        </w:tc>
        <w:tc>
          <w:tcPr>
            <w:tcW w:type="dxa" w:w="1872"/>
            <w:tcBorders>
              <w:top w:val="none" w:color="FFFFFF" w:sz="0"/>
              <w:left w:val="none" w:color="FFFFFF" w:sz="0"/>
              <w:bottom w:val="none" w:color="FFFFFF" w:sz="0"/>
              <w:right w:val="none" w:color="FFFFFF" w:sz="0"/>
            </w:tcBorders>
            <w:shd w:fill="EAF5F0" w:val="clear"/>
            <w:tcMar>
              <w:top w:type="dxa" w:w="80"/>
              <w:left w:type="dxa" w:w="100"/>
              <w:bottom w:type="dxa" w:w="80"/>
              <w:right w:type="dxa" w:w="100"/>
            </w:tcMar>
          </w:tcPr>
          <w:p>
            <w:pPr>
              <w:jc w:val="center"/>
            </w:pPr>
            <w:r>
              <w:rPr>
                <w:rFonts w:ascii="Arial" w:cs="Arial" w:eastAsia="Arial" w:hAnsi="Arial"/>
                <w:b/>
                <w:bCs/>
                <w:color w:val="0B6E4F"/>
                <w:sz w:val="18"/>
                <w:szCs w:val="18"/>
              </w:rPr>
              <w:t xml:space="preserve">UX Strategy</w:t>
            </w:r>
          </w:p>
        </w:tc>
        <w:tc>
          <w:tcPr>
            <w:tcW w:type="dxa" w:w="1872"/>
            <w:tcBorders>
              <w:top w:val="none" w:color="FFFFFF" w:sz="0"/>
              <w:left w:val="none" w:color="FFFFFF" w:sz="0"/>
              <w:bottom w:val="none" w:color="FFFFFF" w:sz="0"/>
              <w:right w:val="none" w:color="FFFFFF" w:sz="0"/>
            </w:tcBorders>
            <w:shd w:fill="EAF5F0" w:val="clear"/>
            <w:tcMar>
              <w:top w:type="dxa" w:w="80"/>
              <w:left w:type="dxa" w:w="100"/>
              <w:bottom w:type="dxa" w:w="80"/>
              <w:right w:type="dxa" w:w="100"/>
            </w:tcMar>
          </w:tcPr>
          <w:p>
            <w:pPr>
              <w:jc w:val="center"/>
            </w:pPr>
            <w:r>
              <w:rPr>
                <w:rFonts w:ascii="Arial" w:cs="Arial" w:eastAsia="Arial" w:hAnsi="Arial"/>
                <w:b/>
                <w:bCs/>
                <w:color w:val="0B6E4F"/>
                <w:sz w:val="18"/>
                <w:szCs w:val="18"/>
              </w:rPr>
              <w:t xml:space="preserve">Design Systems</w:t>
            </w:r>
          </w:p>
        </w:tc>
        <w:tc>
          <w:tcPr>
            <w:tcW w:type="dxa" w:w="1872"/>
            <w:tcBorders>
              <w:top w:val="none" w:color="FFFFFF" w:sz="0"/>
              <w:left w:val="none" w:color="FFFFFF" w:sz="0"/>
              <w:bottom w:val="none" w:color="FFFFFF" w:sz="0"/>
              <w:right w:val="none" w:color="FFFFFF" w:sz="0"/>
            </w:tcBorders>
            <w:shd w:fill="EAF5F0" w:val="clear"/>
            <w:tcMar>
              <w:top w:type="dxa" w:w="80"/>
              <w:left w:type="dxa" w:w="100"/>
              <w:bottom w:type="dxa" w:w="80"/>
              <w:right w:type="dxa" w:w="100"/>
            </w:tcMar>
          </w:tcPr>
          <w:p>
            <w:pPr>
              <w:jc w:val="center"/>
            </w:pPr>
            <w:r>
              <w:rPr>
                <w:rFonts w:ascii="Arial" w:cs="Arial" w:eastAsia="Arial" w:hAnsi="Arial"/>
                <w:b/>
                <w:bCs/>
                <w:color w:val="0B6E4F"/>
                <w:sz w:val="18"/>
                <w:szCs w:val="18"/>
              </w:rPr>
              <w:t xml:space="preserve">Cross-functional Collaboration</w:t>
            </w:r>
          </w:p>
        </w:tc>
      </w:tr>
    </w:tbl>
    <w:p>
      <w:pPr>
        <w:spacing w:before="80" w:after="0"/>
      </w:pPr>
      <w:r>
        <w:t xml:space="preserve"/>
      </w:r>
    </w:p>
    <w:p>
      <w:pPr>
        <w:spacing w:before="0" w:after="60"/>
      </w:pPr>
      <w:r>
        <w:rPr>
          <w:rFonts w:ascii="Arial" w:cs="Arial" w:eastAsia="Arial" w:hAnsi="Arial"/>
          <w:b/>
          <w:bCs/>
          <w:color w:val="074D36"/>
          <w:sz w:val="20"/>
          <w:szCs w:val="20"/>
        </w:rPr>
        <w:t xml:space="preserve">Client: </w:t>
      </w:r>
      <w:r>
        <w:rPr>
          <w:rFonts w:ascii="Arial" w:cs="Arial" w:eastAsia="Arial" w:hAnsi="Arial"/>
          <w:color w:val="1A1A1A"/>
          <w:sz w:val="20"/>
          <w:szCs w:val="20"/>
        </w:rPr>
        <w:t xml:space="preserve">Esencial Isapre (health insurance startup, Chile)</w:t>
      </w:r>
    </w:p>
    <w:p>
      <w:pPr>
        <w:spacing w:before="0" w:after="60"/>
      </w:pPr>
      <w:r>
        <w:rPr>
          <w:rFonts w:ascii="Arial" w:cs="Arial" w:eastAsia="Arial" w:hAnsi="Arial"/>
          <w:b/>
          <w:bCs/>
          <w:color w:val="074D36"/>
          <w:sz w:val="20"/>
          <w:szCs w:val="20"/>
        </w:rPr>
        <w:t xml:space="preserve">Year: </w:t>
      </w:r>
      <w:r>
        <w:rPr>
          <w:rFonts w:ascii="Arial" w:cs="Arial" w:eastAsia="Arial" w:hAnsi="Arial"/>
          <w:color w:val="1A1A1A"/>
          <w:sz w:val="20"/>
          <w:szCs w:val="20"/>
        </w:rPr>
        <w:t xml:space="preserve">2021–2024  |  </w:t>
      </w:r>
      <w:r>
        <w:rPr>
          <w:rFonts w:ascii="Arial" w:cs="Arial" w:eastAsia="Arial" w:hAnsi="Arial"/>
          <w:b/>
          <w:bCs/>
          <w:color w:val="074D36"/>
          <w:sz w:val="20"/>
          <w:szCs w:val="20"/>
        </w:rPr>
        <w:t xml:space="preserve">Role: </w:t>
      </w:r>
      <w:r>
        <w:rPr>
          <w:rFonts w:ascii="Arial" w:cs="Arial" w:eastAsia="Arial" w:hAnsi="Arial"/>
          <w:color w:val="1A1A1A"/>
          <w:sz w:val="20"/>
          <w:szCs w:val="20"/>
        </w:rPr>
        <w:t xml:space="preserve">UX Lead  |  </w:t>
      </w:r>
      <w:r>
        <w:rPr>
          <w:rFonts w:ascii="Arial" w:cs="Arial" w:eastAsia="Arial" w:hAnsi="Arial"/>
          <w:b/>
          <w:bCs/>
          <w:color w:val="074D36"/>
          <w:sz w:val="20"/>
          <w:szCs w:val="20"/>
        </w:rPr>
        <w:t xml:space="preserve">Tools: </w:t>
      </w:r>
      <w:r>
        <w:rPr>
          <w:rFonts w:ascii="Arial" w:cs="Arial" w:eastAsia="Arial" w:hAnsi="Arial"/>
          <w:color w:val="1A1A1A"/>
          <w:sz w:val="20"/>
          <w:szCs w:val="20"/>
        </w:rPr>
        <w:t xml:space="preserve">Figma, Hotjar, Google Analytics, A/B testing frameworks</w:t>
      </w:r>
    </w:p>
    <w:p>
      <w:pPr>
        <w:pBdr>
          <w:bottom w:val="single" w:color="DDDDDD" w:sz="2" w:space="1"/>
        </w:pBdr>
        <w:spacing w:before="200" w:after="20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B6E4F" w:sz="4"/>
              <w:left w:val="none" w:color="FFFFFF" w:sz="0"/>
              <w:bottom w:val="none" w:color="FFFFFF" w:sz="0"/>
              <w:right w:val="none" w:color="FFFFFF" w:sz="0"/>
            </w:tcBorders>
            <w:shd w:fill="EAF5F0" w:val="clear"/>
            <w:tcMar>
              <w:top w:type="dxa" w:w="160"/>
              <w:left w:type="dxa" w:w="180"/>
              <w:bottom w:type="dxa" w:w="160"/>
              <w:right w:type="dxa" w:w="180"/>
            </w:tcMar>
          </w:tcPr>
          <w:p>
            <w:pPr>
              <w:jc w:val="center"/>
            </w:pPr>
            <w:r>
              <w:rPr>
                <w:rFonts w:ascii="Arial" w:cs="Arial" w:eastAsia="Arial" w:hAnsi="Arial"/>
                <w:b/>
                <w:bCs/>
                <w:color w:val="0B6E4F"/>
                <w:sz w:val="52"/>
                <w:szCs w:val="52"/>
              </w:rPr>
              <w:t xml:space="preserve">6 mo.</w:t>
            </w:r>
          </w:p>
          <w:p>
            <w:pPr>
              <w:spacing w:before="40"/>
              <w:jc w:val="center"/>
            </w:pPr>
            <w:r>
              <w:rPr>
                <w:rFonts w:ascii="Arial" w:cs="Arial" w:eastAsia="Arial" w:hAnsi="Arial"/>
                <w:color w:val="6B6B6B"/>
                <w:sz w:val="18"/>
                <w:szCs w:val="18"/>
              </w:rPr>
              <w:t xml:space="preserve">Launch timeline</w:t>
            </w:r>
          </w:p>
        </w:tc>
        <w:tc>
          <w:tcPr>
            <w:tcW w:type="dxa" w:w="2340"/>
            <w:tcBorders>
              <w:top w:val="single" w:color="0B6E4F" w:sz="4"/>
              <w:left w:val="none" w:color="FFFFFF" w:sz="0"/>
              <w:bottom w:val="none" w:color="FFFFFF" w:sz="0"/>
              <w:right w:val="none" w:color="FFFFFF" w:sz="0"/>
            </w:tcBorders>
            <w:shd w:fill="EAF5F0" w:val="clear"/>
            <w:tcMar>
              <w:top w:type="dxa" w:w="160"/>
              <w:left w:type="dxa" w:w="180"/>
              <w:bottom w:type="dxa" w:w="160"/>
              <w:right w:type="dxa" w:w="180"/>
            </w:tcMar>
          </w:tcPr>
          <w:p>
            <w:pPr>
              <w:jc w:val="center"/>
            </w:pPr>
            <w:r>
              <w:rPr>
                <w:rFonts w:ascii="Arial" w:cs="Arial" w:eastAsia="Arial" w:hAnsi="Arial"/>
                <w:b/>
                <w:bCs/>
                <w:color w:val="0B6E4F"/>
                <w:sz w:val="52"/>
                <w:szCs w:val="52"/>
              </w:rPr>
              <w:t xml:space="preserve">3</w:t>
            </w:r>
          </w:p>
          <w:p>
            <w:pPr>
              <w:spacing w:before="40"/>
              <w:jc w:val="center"/>
            </w:pPr>
            <w:r>
              <w:rPr>
                <w:rFonts w:ascii="Arial" w:cs="Arial" w:eastAsia="Arial" w:hAnsi="Arial"/>
                <w:color w:val="6B6B6B"/>
                <w:sz w:val="18"/>
                <w:szCs w:val="18"/>
              </w:rPr>
              <w:t xml:space="preserve">Core digital products shipped</w:t>
            </w:r>
          </w:p>
        </w:tc>
        <w:tc>
          <w:tcPr>
            <w:tcW w:type="dxa" w:w="2340"/>
            <w:tcBorders>
              <w:top w:val="single" w:color="0B6E4F" w:sz="4"/>
              <w:left w:val="none" w:color="FFFFFF" w:sz="0"/>
              <w:bottom w:val="none" w:color="FFFFFF" w:sz="0"/>
              <w:right w:val="none" w:color="FFFFFF" w:sz="0"/>
            </w:tcBorders>
            <w:shd w:fill="EAF5F0" w:val="clear"/>
            <w:tcMar>
              <w:top w:type="dxa" w:w="160"/>
              <w:left w:type="dxa" w:w="180"/>
              <w:bottom w:type="dxa" w:w="160"/>
              <w:right w:type="dxa" w:w="180"/>
            </w:tcMar>
          </w:tcPr>
          <w:p>
            <w:pPr>
              <w:jc w:val="center"/>
            </w:pPr>
            <w:r>
              <w:rPr>
                <w:rFonts w:ascii="Arial" w:cs="Arial" w:eastAsia="Arial" w:hAnsi="Arial"/>
                <w:b/>
                <w:bCs/>
                <w:color w:val="0B6E4F"/>
                <w:sz w:val="52"/>
                <w:szCs w:val="52"/>
              </w:rPr>
              <w:t xml:space="preserve">466+</w:t>
            </w:r>
          </w:p>
          <w:p>
            <w:pPr>
              <w:spacing w:before="40"/>
              <w:jc w:val="center"/>
            </w:pPr>
            <w:r>
              <w:rPr>
                <w:rFonts w:ascii="Arial" w:cs="Arial" w:eastAsia="Arial" w:hAnsi="Arial"/>
                <w:color w:val="6B6B6B"/>
                <w:sz w:val="18"/>
                <w:szCs w:val="18"/>
              </w:rPr>
              <w:t xml:space="preserve">Regulatory pages internalized</w:t>
            </w:r>
          </w:p>
        </w:tc>
        <w:tc>
          <w:tcPr>
            <w:tcW w:type="dxa" w:w="2340"/>
            <w:tcBorders>
              <w:top w:val="single" w:color="0B6E4F" w:sz="4"/>
              <w:left w:val="none" w:color="FFFFFF" w:sz="0"/>
              <w:bottom w:val="none" w:color="FFFFFF" w:sz="0"/>
              <w:right w:val="none" w:color="FFFFFF" w:sz="0"/>
            </w:tcBorders>
            <w:shd w:fill="EAF5F0" w:val="clear"/>
            <w:tcMar>
              <w:top w:type="dxa" w:w="160"/>
              <w:left w:type="dxa" w:w="180"/>
              <w:bottom w:type="dxa" w:w="160"/>
              <w:right w:type="dxa" w:w="180"/>
            </w:tcMar>
          </w:tcPr>
          <w:p>
            <w:pPr>
              <w:jc w:val="center"/>
            </w:pPr>
            <w:r>
              <w:rPr>
                <w:rFonts w:ascii="Arial" w:cs="Arial" w:eastAsia="Arial" w:hAnsi="Arial"/>
                <w:b/>
                <w:bCs/>
                <w:color w:val="0B6E4F"/>
                <w:sz w:val="52"/>
                <w:szCs w:val="52"/>
              </w:rPr>
              <w:t xml:space="preserve">First</w:t>
            </w:r>
          </w:p>
          <w:p>
            <w:pPr>
              <w:spacing w:before="40"/>
              <w:jc w:val="center"/>
            </w:pPr>
            <w:r>
              <w:rPr>
                <w:rFonts w:ascii="Arial" w:cs="Arial" w:eastAsia="Arial" w:hAnsi="Arial"/>
                <w:color w:val="6B6B6B"/>
                <w:sz w:val="18"/>
                <w:szCs w:val="18"/>
              </w:rPr>
              <w:t xml:space="preserve">Internal UX team built from scratch</w:t>
            </w:r>
          </w:p>
        </w:tc>
      </w:tr>
    </w:tbl>
    <w:p>
      <w:pPr>
        <w:spacing w:before="160" w:after="0"/>
      </w:pPr>
      <w:r>
        <w:t xml:space="preserve"/>
      </w:r>
    </w:p>
    <w:p>
      <w:pPr>
        <w:pStyle w:val="Heading2"/>
        <w:pBdr>
          <w:bottom w:val="single" w:color="0B6E4F" w:sz="4" w:space="4"/>
        </w:pBdr>
        <w:spacing w:before="320" w:after="120"/>
      </w:pPr>
      <w:r>
        <w:rPr>
          <w:rFonts w:ascii="Arial" w:cs="Arial" w:eastAsia="Arial" w:hAnsi="Arial"/>
          <w:b/>
          <w:bCs/>
          <w:color w:val="0B6E4F"/>
          <w:sz w:val="26"/>
          <w:szCs w:val="26"/>
        </w:rPr>
        <w:t xml:space="preserve">01 — Context and challenge</w:t>
      </w:r>
    </w:p>
    <w:p>
      <w:pPr>
        <w:spacing w:before="80" w:after="80" w:line="320"/>
      </w:pPr>
      <w:commentRangeStart w:id="0"/>
      <w:r>
        <w:rPr>
          <w:rFonts w:ascii="Arial" w:cs="Arial" w:eastAsia="Arial" w:hAnsi="Arial"/>
          <w:color w:val="1A1A1A"/>
          <w:sz w:val="22"/>
          <w:szCs w:val="22"/>
        </w:rPr>
        <w:t xml:space="preserve">Esencial was a new private health insurer entering the Chilean market — a sector dominated by a handful of established players, governed by 466+ pages of regulatory standards set by the Superintendency of Health, and deeply resistant to digital-first experiences.</w:t>
      </w:r>
      <w:commentRangeEnd w:id="0"/>
      <w:r>
        <w:rPr>
          <w:rStyle w:val="CommentReference"/>
        </w:rPr>
        <w:commentReference w:id="0"/>
      </w:r>
    </w:p>
    <w:p>
      <w:pPr>
        <w:spacing w:before="80" w:after="0"/>
      </w:pPr>
      <w:r>
        <w:t xml:space="preserve"/>
      </w:r>
    </w:p>
    <w:p>
      <w:pPr>
        <w:spacing w:before="80" w:after="80" w:line="320"/>
      </w:pPr>
      <w:r>
        <w:rPr>
          <w:rFonts w:ascii="Arial" w:cs="Arial" w:eastAsia="Arial" w:hAnsi="Arial"/>
          <w:color w:val="1A1A1A"/>
          <w:sz w:val="22"/>
          <w:szCs w:val="22"/>
        </w:rPr>
        <w:t xml:space="preserve">The founding hypothesis was that a fully digital insurer — one where you could simulate, contract, manage and claim entirely online — could win on experience in a market where competitors still relied heavily on in-branch and phone channels.</w:t>
      </w:r>
    </w:p>
    <w:p>
      <w:pPr>
        <w:spacing w:before="80" w:after="0"/>
      </w:pPr>
      <w:r>
        <w:t xml:space="preserve"/>
      </w:r>
    </w:p>
    <w:p>
      <w:pPr>
        <w:spacing w:before="80" w:after="80" w:line="320"/>
      </w:pPr>
      <w:r>
        <w:rPr>
          <w:rFonts w:ascii="Arial" w:cs="Arial" w:eastAsia="Arial" w:hAnsi="Arial"/>
          <w:color w:val="1A1A1A"/>
          <w:sz w:val="22"/>
          <w:szCs w:val="22"/>
        </w:rPr>
        <w:t xml:space="preserve">The constraint: launch in six months with a small team, no legacy systems to migrate, and regulatory approval as the non-negotiable deadline.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5F5F5" w:val="clear"/>
            <w:tcMar>
              <w:top w:type="dxa" w:w="140"/>
              <w:left w:type="dxa" w:w="160"/>
              <w:bottom w:type="dxa" w:w="140"/>
              <w:right w:type="dxa" w:w="160"/>
            </w:tcMar>
          </w:tcPr>
          <w:p>
            <w:pPr>
              <w:spacing w:after="80"/>
            </w:pPr>
            <w:r>
              <w:rPr>
                <w:rFonts w:ascii="Arial" w:cs="Arial" w:eastAsia="Arial" w:hAnsi="Arial"/>
                <w:b/>
                <w:bCs/>
                <w:color w:val="074D36"/>
                <w:sz w:val="20"/>
                <w:szCs w:val="20"/>
              </w:rPr>
              <w:t xml:space="preserve">What we had to build</w:t>
            </w:r>
          </w:p>
          <w:p>
            <w:pPr>
              <w:pStyle w:val="ListParagraph"/>
              <w:numPr>
                <w:ilvl w:val="0"/>
                <w:numId w:val="2"/>
              </w:numPr>
              <w:spacing w:before="40" w:after="40"/>
            </w:pPr>
            <w:r>
              <w:rPr>
                <w:rFonts w:ascii="Arial" w:cs="Arial" w:eastAsia="Arial" w:hAnsi="Arial"/>
                <w:color w:val="1A1A1A"/>
                <w:sz w:val="20"/>
                <w:szCs w:val="20"/>
              </w:rPr>
              <w:t xml:space="preserve">Sales simulation flow (plan comparison)</w:t>
            </w:r>
          </w:p>
          <w:p>
            <w:pPr>
              <w:pStyle w:val="ListParagraph"/>
              <w:numPr>
                <w:ilvl w:val="0"/>
                <w:numId w:val="2"/>
              </w:numPr>
              <w:spacing w:before="40" w:after="40"/>
            </w:pPr>
            <w:r>
              <w:rPr>
                <w:rFonts w:ascii="Arial" w:cs="Arial" w:eastAsia="Arial" w:hAnsi="Arial"/>
                <w:color w:val="1A1A1A"/>
                <w:sz w:val="20"/>
                <w:szCs w:val="20"/>
              </w:rPr>
              <w:t xml:space="preserve">Digital contracting + Personal Health Declaration</w:t>
            </w:r>
          </w:p>
          <w:p>
            <w:pPr>
              <w:pStyle w:val="ListParagraph"/>
              <w:numPr>
                <w:ilvl w:val="0"/>
                <w:numId w:val="2"/>
              </w:numPr>
              <w:spacing w:before="40" w:after="40"/>
            </w:pPr>
            <w:r>
              <w:rPr>
                <w:rFonts w:ascii="Arial" w:cs="Arial" w:eastAsia="Arial" w:hAnsi="Arial"/>
                <w:color w:val="1A1A1A"/>
                <w:sz w:val="20"/>
                <w:szCs w:val="20"/>
              </w:rPr>
              <w:t xml:space="preserve">Private member site: policies, refunds, certificates</w:t>
            </w:r>
          </w:p>
          <w:p>
            <w:pPr>
              <w:pStyle w:val="ListParagraph"/>
              <w:numPr>
                <w:ilvl w:val="0"/>
                <w:numId w:val="2"/>
              </w:numPr>
              <w:spacing w:before="40" w:after="40"/>
            </w:pPr>
            <w:r>
              <w:rPr>
                <w:rFonts w:ascii="Arial" w:cs="Arial" w:eastAsia="Arial" w:hAnsi="Arial"/>
                <w:color w:val="1A1A1A"/>
                <w:sz w:val="20"/>
                <w:szCs w:val="20"/>
              </w:rPr>
              <w:t xml:space="preserve">Public site: value proposition + legal compliance</w:t>
            </w:r>
          </w:p>
          <w:p>
            <w:pPr>
              <w:pStyle w:val="ListParagraph"/>
              <w:numPr>
                <w:ilvl w:val="0"/>
                <w:numId w:val="2"/>
              </w:numPr>
              <w:spacing w:before="40" w:after="40"/>
            </w:pPr>
            <w:r>
              <w:rPr>
                <w:rFonts w:ascii="Arial" w:cs="Arial" w:eastAsia="Arial" w:hAnsi="Arial"/>
                <w:color w:val="1A1A1A"/>
                <w:sz w:val="20"/>
                <w:szCs w:val="20"/>
              </w:rPr>
              <w:t xml:space="preserve">Back office touchpoints for operations teams</w:t>
            </w:r>
          </w:p>
        </w:tc>
        <w:tc>
          <w:tcPr>
            <w:tcW w:type="dxa" w:w="4680"/>
            <w:tcBorders>
              <w:top w:val="single" w:color="DDDDDD" w:sz="1"/>
              <w:left w:val="single" w:color="DDDDDD" w:sz="1"/>
              <w:bottom w:val="single" w:color="DDDDDD" w:sz="1"/>
              <w:right w:val="single" w:color="DDDDDD" w:sz="1"/>
            </w:tcBorders>
            <w:shd w:fill="EAF5F0" w:val="clear"/>
            <w:tcMar>
              <w:top w:type="dxa" w:w="140"/>
              <w:left w:type="dxa" w:w="160"/>
              <w:bottom w:type="dxa" w:w="140"/>
              <w:right w:type="dxa" w:w="160"/>
            </w:tcMar>
          </w:tcPr>
          <w:p>
            <w:pPr>
              <w:spacing w:after="80"/>
            </w:pPr>
            <w:r>
              <w:rPr>
                <w:rFonts w:ascii="Arial" w:cs="Arial" w:eastAsia="Arial" w:hAnsi="Arial"/>
                <w:b/>
                <w:bCs/>
                <w:color w:val="074D36"/>
                <w:sz w:val="20"/>
                <w:szCs w:val="20"/>
              </w:rPr>
              <w:t xml:space="preserve">What we were working with</w:t>
            </w:r>
          </w:p>
          <w:p>
            <w:pPr>
              <w:pStyle w:val="ListParagraph"/>
              <w:numPr>
                <w:ilvl w:val="0"/>
                <w:numId w:val="2"/>
              </w:numPr>
              <w:spacing w:before="40" w:after="40"/>
            </w:pPr>
            <w:r>
              <w:rPr>
                <w:rFonts w:ascii="Arial" w:cs="Arial" w:eastAsia="Arial" w:hAnsi="Arial"/>
                <w:color w:val="1A1A1A"/>
                <w:sz w:val="20"/>
                <w:szCs w:val="20"/>
              </w:rPr>
              <w:t xml:space="preserve">A 466-page regulatory compendium as the primary spec</w:t>
            </w:r>
          </w:p>
          <w:p>
            <w:pPr>
              <w:pStyle w:val="ListParagraph"/>
              <w:numPr>
                <w:ilvl w:val="0"/>
                <w:numId w:val="2"/>
              </w:numPr>
              <w:spacing w:before="40" w:after="40"/>
            </w:pPr>
            <w:r>
              <w:rPr>
                <w:rFonts w:ascii="Arial" w:cs="Arial" w:eastAsia="Arial" w:hAnsi="Arial"/>
                <w:color w:val="1A1A1A"/>
                <w:sz w:val="20"/>
                <w:szCs w:val="20"/>
              </w:rPr>
              <w:t xml:space="preserve">Competitive benchmark (all 5 existing isapres)</w:t>
            </w:r>
          </w:p>
          <w:p>
            <w:pPr>
              <w:pStyle w:val="ListParagraph"/>
              <w:numPr>
                <w:ilvl w:val="0"/>
                <w:numId w:val="2"/>
              </w:numPr>
              <w:spacing w:before="40" w:after="40"/>
            </w:pPr>
            <w:r>
              <w:rPr>
                <w:rFonts w:ascii="Arial" w:cs="Arial" w:eastAsia="Arial" w:hAnsi="Arial"/>
                <w:color w:val="1A1A1A"/>
                <w:sz w:val="20"/>
                <w:szCs w:val="20"/>
              </w:rPr>
              <w:t xml:space="preserve">No existing users to research — pre-launch product</w:t>
            </w:r>
          </w:p>
          <w:p>
            <w:pPr>
              <w:pStyle w:val="ListParagraph"/>
              <w:numPr>
                <w:ilvl w:val="0"/>
                <w:numId w:val="2"/>
              </w:numPr>
              <w:spacing w:before="40" w:after="40"/>
            </w:pPr>
            <w:r>
              <w:rPr>
                <w:rFonts w:ascii="Arial" w:cs="Arial" w:eastAsia="Arial" w:hAnsi="Arial"/>
                <w:color w:val="1A1A1A"/>
                <w:sz w:val="20"/>
                <w:szCs w:val="20"/>
              </w:rPr>
              <w:t xml:space="preserve">An inexperienced product team needing UX onboarding</w:t>
            </w:r>
          </w:p>
          <w:p>
            <w:pPr>
              <w:pStyle w:val="ListParagraph"/>
              <w:numPr>
                <w:ilvl w:val="0"/>
                <w:numId w:val="2"/>
              </w:numPr>
              <w:spacing w:before="40" w:after="40"/>
            </w:pPr>
            <w:r>
              <w:rPr>
                <w:rFonts w:ascii="Arial" w:cs="Arial" w:eastAsia="Arial" w:hAnsi="Arial"/>
                <w:color w:val="1A1A1A"/>
                <w:sz w:val="20"/>
                <w:szCs w:val="20"/>
              </w:rPr>
              <w:t xml:space="preserve">Six months to go from blank canvas to live product</w:t>
            </w:r>
          </w:p>
        </w:tc>
      </w:tr>
    </w:tbl>
    <w:p>
      <w:pPr>
        <w:spacing w:before="160" w:after="0"/>
      </w:pPr>
      <w:r>
        <w:t xml:space="preserve"/>
      </w:r>
    </w:p>
    <w:p>
      <w:pPr>
        <w:pStyle w:val="Heading2"/>
        <w:pBdr>
          <w:bottom w:val="single" w:color="0B6E4F" w:sz="4" w:space="4"/>
        </w:pBdr>
        <w:spacing w:before="320" w:after="120"/>
      </w:pPr>
      <w:r>
        <w:rPr>
          <w:rFonts w:ascii="Arial" w:cs="Arial" w:eastAsia="Arial" w:hAnsi="Arial"/>
          <w:b/>
          <w:bCs/>
          <w:color w:val="0B6E4F"/>
          <w:sz w:val="26"/>
          <w:szCs w:val="26"/>
        </w:rPr>
        <w:t xml:space="preserve">02 — My role</w:t>
      </w:r>
    </w:p>
    <w:p>
      <w:pPr>
        <w:spacing w:before="80" w:after="80" w:line="320"/>
      </w:pPr>
      <w:r>
        <w:rPr>
          <w:rFonts w:ascii="Arial" w:cs="Arial" w:eastAsia="Arial" w:hAnsi="Arial"/>
          <w:color w:val="1A1A1A"/>
          <w:sz w:val="22"/>
          <w:szCs w:val="22"/>
        </w:rPr>
        <w:t xml:space="preserve">I joined as UX Lead with a mandate that covered the full spectrum: strategy, hands-on design, team building, and stakeholder alignment. This was not an execution role — I was expected to define the UX direction, build the internal capability, and make decisions that would shape the product for years.</w:t>
      </w:r>
    </w:p>
    <w:p>
      <w:pPr>
        <w:spacing w:before="80" w:after="0"/>
      </w:pPr>
      <w:r>
        <w:t xml:space="preserve"/>
      </w:r>
    </w:p>
    <w:p>
      <w:pPr>
        <w:spacing w:before="80" w:after="80" w:line="320"/>
      </w:pPr>
      <w:r>
        <w:rPr>
          <w:rFonts w:ascii="Arial" w:cs="Arial" w:eastAsia="Arial" w:hAnsi="Arial"/>
          <w:color w:val="1A1A1A"/>
          <w:sz w:val="22"/>
          <w:szCs w:val="22"/>
        </w:rPr>
        <w:t xml:space="preserve">Over three years, my role evolved from founding designer to design leader overseeing a multi-disciplinary experimentation squad. The two phases — launch and growth — required very different skills and approaches.</w:t>
      </w:r>
    </w:p>
    <w:p>
      <w:pPr>
        <w:spacing w:before="160" w:after="0"/>
      </w:pPr>
      <w:r>
        <w:t xml:space="preserve"/>
      </w:r>
    </w:p>
    <w:p>
      <w:pPr>
        <w:pStyle w:val="Heading2"/>
        <w:pBdr>
          <w:bottom w:val="single" w:color="0B6E4F" w:sz="4" w:space="4"/>
        </w:pBdr>
        <w:spacing w:before="320" w:after="120"/>
      </w:pPr>
      <w:r>
        <w:rPr>
          <w:rFonts w:ascii="Arial" w:cs="Arial" w:eastAsia="Arial" w:hAnsi="Arial"/>
          <w:b/>
          <w:bCs/>
          <w:color w:val="0B6E4F"/>
          <w:sz w:val="26"/>
          <w:szCs w:val="26"/>
        </w:rPr>
        <w:t xml:space="preserve">03 — Phase 1: building the MVP</w:t>
      </w:r>
    </w:p>
    <w:p>
      <w:pPr>
        <w:spacing w:before="200" w:after="80"/>
      </w:pPr>
      <w:commentRangeStart w:id="2"/>
      <w:r>
        <w:rPr>
          <w:rFonts w:ascii="Arial" w:cs="Arial" w:eastAsia="Arial" w:hAnsi="Arial"/>
          <w:b/>
          <w:bCs/>
          <w:color w:val="074D36"/>
          <w:sz w:val="22"/>
          <w:szCs w:val="22"/>
        </w:rPr>
        <w:t xml:space="preserve">Starting from the regulation, not from assumptions</w:t>
      </w:r>
      <w:commentRangeEnd w:id="2"/>
      <w:r>
        <w:rPr>
          <w:rStyle w:val="CommentReference"/>
        </w:rPr>
        <w:commentReference w:id="2"/>
      </w:r>
    </w:p>
    <w:p>
      <w:pPr>
        <w:spacing w:before="80" w:after="80" w:line="320"/>
      </w:pPr>
      <w:r>
        <w:rPr>
          <w:rFonts w:ascii="Arial" w:cs="Arial" w:eastAsia="Arial" w:hAnsi="Arial"/>
          <w:color w:val="1A1A1A"/>
          <w:sz w:val="22"/>
          <w:szCs w:val="22"/>
        </w:rPr>
        <w:t xml:space="preserve">With no users to research pre-launch, the primary input was the regulatory compendium. I read and internalized the full document to identify which processes were mandatory, which were discretionary, and where there was room to simplify without creating compliance risk.</w:t>
      </w:r>
    </w:p>
    <w:p>
      <w:pPr>
        <w:spacing w:before="80" w:after="0"/>
      </w:pPr>
      <w:r>
        <w:t xml:space="preserve"/>
      </w:r>
    </w:p>
    <w:p>
      <w:pPr>
        <w:spacing w:before="80" w:after="80" w:line="320"/>
      </w:pPr>
      <w:r>
        <w:rPr>
          <w:rFonts w:ascii="Arial" w:cs="Arial" w:eastAsia="Arial" w:hAnsi="Arial"/>
          <w:color w:val="1A1A1A"/>
          <w:sz w:val="22"/>
          <w:szCs w:val="22"/>
        </w:rPr>
        <w:t xml:space="preserve">This regulatory deep-dive was the most important design research I did in the project. It let me push back on stakeholder requests that would have added unnecessary complexity, and defend simplification decisions with specific regulatory citations — not just design intuition.</w:t>
      </w:r>
    </w:p>
    <w:p>
      <w:pPr>
        <w:spacing w:before="80" w:after="0"/>
      </w:pPr>
      <w:r>
        <w:t xml:space="preserve"/>
      </w:r>
    </w:p>
    <w:p>
      <w:pPr>
        <w:spacing w:before="200" w:after="80"/>
      </w:pPr>
      <w:commentRangeStart w:id="1"/>
      <w:r>
        <w:rPr>
          <w:rFonts w:ascii="Arial" w:cs="Arial" w:eastAsia="Arial" w:hAnsi="Arial"/>
          <w:b/>
          <w:bCs/>
          <w:color w:val="074D36"/>
          <w:sz w:val="22"/>
          <w:szCs w:val="22"/>
        </w:rPr>
        <w:t xml:space="preserve">Competitive benchmark and MVP definition</w:t>
      </w:r>
      <w:commentRangeEnd w:id="1"/>
      <w:r>
        <w:rPr>
          <w:rStyle w:val="CommentReference"/>
        </w:rPr>
        <w:commentReference w:id="1"/>
      </w:r>
    </w:p>
    <w:p>
      <w:pPr>
        <w:spacing w:before="80" w:after="80" w:line="320"/>
      </w:pPr>
      <w:r>
        <w:rPr>
          <w:rFonts w:ascii="Arial" w:cs="Arial" w:eastAsia="Arial" w:hAnsi="Arial"/>
          <w:color w:val="1A1A1A"/>
          <w:sz w:val="22"/>
          <w:szCs w:val="22"/>
        </w:rPr>
        <w:t xml:space="preserve">I conducted a full benchmark of all five competing isapres, mapping their sales flows step by step and scoring them against six UX dimensions. This produced a clear picture of where every competitor was weak — and therefore where Esencial could differentiate on experience, not just price.</w:t>
      </w:r>
    </w:p>
    <w:p>
      <w:pPr>
        <w:spacing w:before="80" w:after="0"/>
      </w:pPr>
      <w:r>
        <w:t xml:space="preserve"/>
      </w:r>
    </w:p>
    <w:p>
      <w:pPr>
        <w:spacing w:before="80" w:after="80" w:line="320"/>
      </w:pPr>
      <w:r>
        <w:rPr>
          <w:rFonts w:ascii="Arial" w:cs="Arial" w:eastAsia="Arial" w:hAnsi="Arial"/>
          <w:color w:val="1A1A1A"/>
          <w:sz w:val="22"/>
          <w:szCs w:val="22"/>
        </w:rPr>
        <w:t xml:space="preserve">The benchmark directly informed our MVP scope. I defined the sales simulation flow as the highest priority: if a user couldn't quickly understand which plan was right for them, nothing else in the product mattered.</w:t>
      </w:r>
    </w:p>
    <w:p>
      <w:pPr>
        <w:spacing w:before="80" w:after="0"/>
      </w:pPr>
      <w:r>
        <w:t xml:space="preserve"/>
      </w:r>
    </w:p>
    <w:p>
      <w:pPr>
        <w:spacing w:before="80" w:after="80" w:line="320"/>
      </w:pPr>
      <w:commentRangeStart w:id="3"/>
      <w:r>
        <w:rPr>
          <w:rFonts w:ascii="Arial" w:cs="Arial" w:eastAsia="Arial" w:hAnsi="Arial"/>
          <w:color w:val="1A1A1A"/>
          <w:sz w:val="22"/>
          <w:szCs w:val="22"/>
        </w:rPr>
        <w:t xml:space="preserve">The MVP simulation flow reduced the required inputs to 6 questions, producing a results view and a plan detail page that could be completed in under 5 minutes — compared to an industry average that required an agent call.</w:t>
      </w:r>
      <w:commentRangeEnd w:id="3"/>
      <w:r>
        <w:rPr>
          <w:rStyle w:val="CommentReference"/>
        </w:rPr>
        <w:commentReference w:id="3"/>
      </w:r>
    </w:p>
    <w:p>
      <w:pPr>
        <w:spacing w:before="80" w:after="0"/>
      </w:pPr>
      <w:r>
        <w:t xml:space="preserve"/>
      </w:r>
    </w:p>
    <w:p>
      <w:pPr>
        <w:spacing w:before="200" w:after="80"/>
      </w:pPr>
      <w:r>
        <w:rPr>
          <w:rFonts w:ascii="Arial" w:cs="Arial" w:eastAsia="Arial" w:hAnsi="Arial"/>
          <w:b/>
          <w:bCs/>
          <w:color w:val="074D36"/>
          <w:sz w:val="22"/>
          <w:szCs w:val="22"/>
        </w:rPr>
        <w:t xml:space="preserve">Launch and immediate discovery</w:t>
      </w:r>
    </w:p>
    <w:p>
      <w:pPr>
        <w:spacing w:before="80" w:after="80" w:line="320"/>
      </w:pPr>
      <w:r>
        <w:rPr>
          <w:rFonts w:ascii="Arial" w:cs="Arial" w:eastAsia="Arial" w:hAnsi="Arial"/>
          <w:color w:val="1A1A1A"/>
          <w:sz w:val="22"/>
          <w:szCs w:val="22"/>
        </w:rPr>
        <w:t xml:space="preserve">We launched without user testing — a deliberate decision given the confidentiality constraints of a pre-announced financial product. Instead, we monitored post-launch behaviour with Hotjar and Google Analytics from day one.</w:t>
      </w:r>
    </w:p>
    <w:p>
      <w:pPr>
        <w:spacing w:before="80" w:after="0"/>
      </w:pPr>
      <w:r>
        <w:t xml:space="preserve"/>
      </w:r>
    </w:p>
    <w:p>
      <w:pPr>
        <w:pBdr>
          <w:left w:val="single" w:color="0B6E4F" w:sz="12" w:space="12"/>
        </w:pBdr>
        <w:spacing w:before="160" w:after="160"/>
        <w:ind w:left="560"/>
      </w:pPr>
      <w:r>
        <w:rPr>
          <w:rFonts w:ascii="Arial" w:cs="Arial" w:eastAsia="Arial" w:hAnsi="Arial"/>
          <w:color w:val="6B6B6B"/>
          <w:sz w:val="22"/>
          <w:szCs w:val="22"/>
        </w:rPr>
        <w:t xml:space="preserve">The first week of real data told us something our internal testing hadn't: users were simulating plans but not converting. And because we hadn't captured any contact information, we had no way to follow up.</w:t>
      </w:r>
    </w:p>
    <w:p>
      <w:pPr>
        <w:spacing w:before="160" w:after="0"/>
      </w:pPr>
      <w:r>
        <w:t xml:space="preserve"/>
      </w:r>
    </w:p>
    <w:p>
      <w:pPr>
        <w:pStyle w:val="Heading2"/>
        <w:pBdr>
          <w:bottom w:val="single" w:color="0B6E4F" w:sz="4" w:space="4"/>
        </w:pBdr>
        <w:spacing w:before="320" w:after="120"/>
      </w:pPr>
      <w:r>
        <w:rPr>
          <w:rFonts w:ascii="Arial" w:cs="Arial" w:eastAsia="Arial" w:hAnsi="Arial"/>
          <w:b/>
          <w:bCs/>
          <w:color w:val="0B6E4F"/>
          <w:sz w:val="26"/>
          <w:szCs w:val="26"/>
        </w:rPr>
        <w:t xml:space="preserve">04 — Phase 2: experimentation and growth</w:t>
      </w:r>
    </w:p>
    <w:p>
      <w:pPr>
        <w:spacing w:before="200" w:after="80"/>
      </w:pPr>
      <w:commentRangeStart w:id="6"/>
      <w:r>
        <w:rPr>
          <w:rFonts w:ascii="Arial" w:cs="Arial" w:eastAsia="Arial" w:hAnsi="Arial"/>
          <w:b/>
          <w:bCs/>
          <w:color w:val="074D36"/>
          <w:sz w:val="22"/>
          <w:szCs w:val="22"/>
        </w:rPr>
        <w:t xml:space="preserve">Restructuring for speed</w:t>
      </w:r>
      <w:commentRangeEnd w:id="6"/>
      <w:r>
        <w:rPr>
          <w:rStyle w:val="CommentReference"/>
        </w:rPr>
        <w:commentReference w:id="6"/>
      </w:r>
    </w:p>
    <w:p>
      <w:pPr>
        <w:spacing w:before="80" w:after="80" w:line="320"/>
      </w:pPr>
      <w:r>
        <w:rPr>
          <w:rFonts w:ascii="Arial" w:cs="Arial" w:eastAsia="Arial" w:hAnsi="Arial"/>
          <w:color w:val="1A1A1A"/>
          <w:sz w:val="22"/>
          <w:szCs w:val="22"/>
        </w:rPr>
        <w:t xml:space="preserve">The post-launch data made one thing clear: the team structure optimized for building wasn't optimized for learning. I proposed and led a restructure that created three distinct functions:</w:t>
      </w:r>
    </w:p>
    <w:p>
      <w:pPr>
        <w:spacing w:before="60" w:after="0"/>
      </w:pPr>
      <w:r>
        <w:t xml:space="preserve"/>
      </w:r>
    </w:p>
    <w:p>
      <w:pPr>
        <w:pStyle w:val="ListParagraph"/>
        <w:numPr>
          <w:ilvl w:val="0"/>
          <w:numId w:val="2"/>
        </w:numPr>
        <w:spacing w:before="60" w:after="60"/>
      </w:pPr>
      <w:r>
        <w:rPr>
          <w:rFonts w:ascii="Arial" w:cs="Arial" w:eastAsia="Arial" w:hAnsi="Arial"/>
          <w:color w:val="1A1A1A"/>
          <w:sz w:val="22"/>
          <w:szCs w:val="22"/>
        </w:rPr>
        <w:t xml:space="preserve">A maintenance cell focused on bug fixes, accessibility improvements and roadmap delivery — scope-capped to avoid overload</w:t>
      </w:r>
    </w:p>
    <w:p>
      <w:pPr>
        <w:pStyle w:val="ListParagraph"/>
        <w:numPr>
          <w:ilvl w:val="0"/>
          <w:numId w:val="2"/>
        </w:numPr>
        <w:spacing w:before="60" w:after="60"/>
      </w:pPr>
      <w:r>
        <w:rPr>
          <w:rFonts w:ascii="Arial" w:cs="Arial" w:eastAsia="Arial" w:hAnsi="Arial"/>
          <w:color w:val="1A1A1A"/>
          <w:sz w:val="22"/>
          <w:szCs w:val="22"/>
        </w:rPr>
        <w:t xml:space="preserve">An experimentation squad with full independence from the roadmap: myself as Lead UX, a junior UI designer, a senior frontend dev, and a data analyst. This team could design, build, test and ship improvements in a single sprint</w:t>
      </w:r>
    </w:p>
    <w:p>
      <w:pPr>
        <w:pStyle w:val="ListParagraph"/>
        <w:numPr>
          <w:ilvl w:val="0"/>
          <w:numId w:val="2"/>
        </w:numPr>
        <w:spacing w:before="60" w:after="60"/>
      </w:pPr>
      <w:r>
        <w:rPr>
          <w:rFonts w:ascii="Arial" w:cs="Arial" w:eastAsia="Arial" w:hAnsi="Arial"/>
          <w:color w:val="1A1A1A"/>
          <w:sz w:val="22"/>
          <w:szCs w:val="22"/>
        </w:rPr>
        <w:t xml:space="preserve">A rotating mentoring programme to cross-train junior designers on research methods and data interpretation</w:t>
      </w:r>
    </w:p>
    <w:p>
      <w:pPr>
        <w:spacing w:before="80" w:after="0"/>
      </w:pPr>
      <w:r>
        <w:t xml:space="preserve"/>
      </w:r>
    </w:p>
    <w:p>
      <w:pPr>
        <w:spacing w:before="80" w:after="80" w:line="320"/>
      </w:pPr>
      <w:r>
        <w:rPr>
          <w:rFonts w:ascii="Arial" w:cs="Arial" w:eastAsia="Arial" w:hAnsi="Arial"/>
          <w:color w:val="1A1A1A"/>
          <w:sz w:val="22"/>
          <w:szCs w:val="22"/>
        </w:rPr>
        <w:t xml:space="preserve">The experimentation squad model was the highest-leverage decision of the entire project. By separating the teams, we removed the constant tension between shipping new features and improving existing ones — and created the conditions for rapid, evidence-based design iteration.</w:t>
      </w:r>
    </w:p>
    <w:p>
      <w:pPr>
        <w:spacing w:before="80" w:after="0"/>
      </w:pPr>
      <w:r>
        <w:t xml:space="preserve"/>
      </w:r>
    </w:p>
    <w:p>
      <w:pPr>
        <w:spacing w:before="200" w:after="80"/>
      </w:pPr>
      <w:commentRangeStart w:id="4"/>
      <w:r>
        <w:rPr>
          <w:rFonts w:ascii="Arial" w:cs="Arial" w:eastAsia="Arial" w:hAnsi="Arial"/>
          <w:b/>
          <w:bCs/>
          <w:color w:val="074D36"/>
          <w:sz w:val="22"/>
          <w:szCs w:val="22"/>
        </w:rPr>
        <w:t xml:space="preserve">Key experiments and outcomes</w:t>
      </w:r>
      <w:commentRangeEnd w:id="4"/>
      <w:r>
        <w:rPr>
          <w:rStyle w:val="CommentReference"/>
        </w:rPr>
        <w:commentReference w:id="4"/>
      </w:r>
    </w:p>
    <w:p>
      <w:pPr>
        <w:spacing w:before="80" w:after="80" w:line="320"/>
      </w:pPr>
      <w:r>
        <w:rPr>
          <w:rFonts w:ascii="Arial" w:cs="Arial" w:eastAsia="Arial" w:hAnsi="Arial"/>
          <w:color w:val="1A1A1A"/>
          <w:sz w:val="22"/>
          <w:szCs w:val="22"/>
        </w:rPr>
        <w:t xml:space="preserve">Over 18 months of experimentation, the squad ran and shipped improvements across three critical areas:</w:t>
      </w:r>
    </w:p>
    <w:p>
      <w:pPr>
        <w:spacing w:before="80" w:after="0"/>
      </w:pPr>
      <w:r>
        <w:t xml:space="preserve"/>
      </w:r>
    </w:p>
    <w:p>
      <w:pPr>
        <w:spacing w:before="80" w:after="80" w:line="320"/>
      </w:pPr>
      <w:r>
        <w:rPr>
          <w:rFonts w:ascii="Arial" w:cs="Arial" w:eastAsia="Arial" w:hAnsi="Arial"/>
          <w:color w:val="1A1A1A"/>
          <w:sz w:val="22"/>
          <w:szCs w:val="22"/>
        </w:rPr>
        <w:t xml:space="preserve">Lead capture and conversion: We confirmed through a targeted A/B test that users were willing to share contact information in exchange for a follow-up from a digital advisor. Adding a single email capture step at the end of the simulation increased our prospect database significantly and gave the sales team a warm lead pipeline that hadn't existed before.</w:t>
      </w:r>
    </w:p>
    <w:p>
      <w:pPr>
        <w:spacing w:before="80" w:after="0"/>
      </w:pPr>
      <w:r>
        <w:t xml:space="preserve"/>
      </w:r>
    </w:p>
    <w:p>
      <w:pPr>
        <w:spacing w:before="80" w:after="80" w:line="320"/>
      </w:pPr>
      <w:r>
        <w:rPr>
          <w:rFonts w:ascii="Arial" w:cs="Arial" w:eastAsia="Arial" w:hAnsi="Arial"/>
          <w:color w:val="1A1A1A"/>
          <w:sz w:val="22"/>
          <w:szCs w:val="22"/>
        </w:rPr>
        <w:t xml:space="preserve">Information architecture and grid: Heatmap analysis revealed that users were consistently missing key comparison information below the fold on mobile. We redesigned the results grid to surface plan differentiators earlier in the scroll, reducing bounce rate on the results page.</w:t>
      </w:r>
    </w:p>
    <w:p>
      <w:pPr>
        <w:spacing w:before="80" w:after="0"/>
      </w:pPr>
      <w:r>
        <w:t xml:space="preserve"/>
      </w:r>
    </w:p>
    <w:p>
      <w:pPr>
        <w:spacing w:before="80" w:after="80" w:line="320"/>
      </w:pPr>
      <w:r>
        <w:rPr>
          <w:rFonts w:ascii="Arial" w:cs="Arial" w:eastAsia="Arial" w:hAnsi="Arial"/>
          <w:color w:val="1A1A1A"/>
          <w:sz w:val="22"/>
          <w:szCs w:val="22"/>
        </w:rPr>
        <w:t xml:space="preserve">Plan card design: A redesign of the plan comparison cards — improving visual hierarchy and making download CTAs more prominent — increased both document downloads and plan comparison sessions, leading to measurable improvement in time-to-contract for users who engaged with the comparison features.</w:t>
      </w:r>
    </w:p>
    <w:p>
      <w:pPr>
        <w:spacing w:before="80" w:after="0"/>
      </w:pPr>
      <w:r>
        <w:t xml:space="preserve"/>
      </w:r>
    </w:p>
    <w:p>
      <w:pPr>
        <w:spacing w:before="80" w:after="80" w:line="320"/>
      </w:pPr>
      <w:r>
        <w:rPr>
          <w:rFonts w:ascii="Arial" w:cs="Arial" w:eastAsia="Arial" w:hAnsi="Arial"/>
          <w:color w:val="1A1A1A"/>
          <w:sz w:val="22"/>
          <w:szCs w:val="22"/>
        </w:rPr>
        <w:t xml:space="preserve">Flow compression: After reducing the number of interactions on several screens, task completion time remained constant but user-reported perception of the process improved significantly. Users described the flow as 'faster' and 'simpler' even though the clock time hadn't changed — a reminder that perceived effort is as important as measured effort.</w:t>
      </w:r>
    </w:p>
    <w:p>
      <w:pPr>
        <w:spacing w:before="160" w:after="0"/>
      </w:pPr>
      <w:r>
        <w:t xml:space="preserve"/>
      </w:r>
    </w:p>
    <w:p>
      <w:pPr>
        <w:pStyle w:val="Heading2"/>
        <w:pBdr>
          <w:bottom w:val="single" w:color="0B6E4F" w:sz="4" w:space="4"/>
        </w:pBdr>
        <w:spacing w:before="320" w:after="120"/>
      </w:pPr>
      <w:commentRangeStart w:id="5"/>
      <w:r>
        <w:rPr>
          <w:rFonts w:ascii="Arial" w:cs="Arial" w:eastAsia="Arial" w:hAnsi="Arial"/>
          <w:b/>
          <w:bCs/>
          <w:color w:val="0B6E4F"/>
          <w:sz w:val="26"/>
          <w:szCs w:val="26"/>
        </w:rPr>
        <w:t xml:space="preserve">05 — Design systems and component library</w:t>
      </w:r>
      <w:commentRangeEnd w:id="5"/>
      <w:r>
        <w:rPr>
          <w:rStyle w:val="CommentReference"/>
        </w:rPr>
        <w:commentReference w:id="5"/>
      </w:r>
    </w:p>
    <w:p>
      <w:pPr>
        <w:spacing w:before="80" w:after="80" w:line="320"/>
      </w:pPr>
      <w:r>
        <w:rPr>
          <w:rFonts w:ascii="Arial" w:cs="Arial" w:eastAsia="Arial" w:hAnsi="Arial"/>
          <w:color w:val="1A1A1A"/>
          <w:sz w:val="22"/>
          <w:szCs w:val="22"/>
        </w:rPr>
        <w:t xml:space="preserve">As the product scope expanded to include the private member site, the back office, and multiple communication touchpoints, the need for a coherent component system became critical. I led the definition and documentation of Esencial's internal component library in Figma — establishing naming conventions, interaction states, responsive behaviour and documentation standards that allowed the team to scale without fragmenting the visual language.</w:t>
      </w:r>
    </w:p>
    <w:p>
      <w:pPr>
        <w:spacing w:before="80" w:after="0"/>
      </w:pPr>
      <w:r>
        <w:t xml:space="preserve"/>
      </w:r>
    </w:p>
    <w:p>
      <w:pPr>
        <w:spacing w:before="80" w:after="80" w:line="320"/>
      </w:pPr>
      <w:r>
        <w:rPr>
          <w:rFonts w:ascii="Arial" w:cs="Arial" w:eastAsia="Arial" w:hAnsi="Arial"/>
          <w:color w:val="1A1A1A"/>
          <w:sz w:val="22"/>
          <w:szCs w:val="22"/>
        </w:rPr>
        <w:t xml:space="preserve">The component library also served as the primary handoff artefact for the development team, reducing back-and-forth on implementation details and enabling the senior frontend developer in the experimentation squad to ship experiments faster.</w:t>
      </w:r>
    </w:p>
    <w:p>
      <w:pPr>
        <w:spacing w:before="160" w:after="0"/>
      </w:pPr>
      <w:r>
        <w:t xml:space="preserve"/>
      </w:r>
    </w:p>
    <w:p>
      <w:pPr>
        <w:pStyle w:val="Heading2"/>
        <w:pBdr>
          <w:bottom w:val="single" w:color="0B6E4F" w:sz="4" w:space="4"/>
        </w:pBdr>
        <w:spacing w:before="320" w:after="120"/>
      </w:pPr>
      <w:r>
        <w:rPr>
          <w:rFonts w:ascii="Arial" w:cs="Arial" w:eastAsia="Arial" w:hAnsi="Arial"/>
          <w:b/>
          <w:bCs/>
          <w:color w:val="0B6E4F"/>
          <w:sz w:val="26"/>
          <w:szCs w:val="26"/>
        </w:rPr>
        <w:t xml:space="preserve">06 — Results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B6E4F" w:sz="4"/>
              <w:left w:val="none" w:color="FFFFFF" w:sz="0"/>
              <w:bottom w:val="none" w:color="FFFFFF" w:sz="0"/>
              <w:right w:val="none" w:color="FFFFFF" w:sz="0"/>
            </w:tcBorders>
            <w:shd w:fill="EAF5F0" w:val="clear"/>
            <w:tcMar>
              <w:top w:type="dxa" w:w="160"/>
              <w:left w:type="dxa" w:w="180"/>
              <w:bottom w:type="dxa" w:w="160"/>
              <w:right w:type="dxa" w:w="180"/>
            </w:tcMar>
          </w:tcPr>
          <w:p>
            <w:pPr>
              <w:jc w:val="center"/>
            </w:pPr>
            <w:r>
              <w:rPr>
                <w:rFonts w:ascii="Arial" w:cs="Arial" w:eastAsia="Arial" w:hAnsi="Arial"/>
                <w:b/>
                <w:bCs/>
                <w:color w:val="0B6E4F"/>
                <w:sz w:val="52"/>
                <w:szCs w:val="52"/>
              </w:rPr>
              <w:t xml:space="preserve">6 mo.</w:t>
            </w:r>
          </w:p>
          <w:p>
            <w:pPr>
              <w:spacing w:before="40"/>
              <w:jc w:val="center"/>
            </w:pPr>
            <w:r>
              <w:rPr>
                <w:rFonts w:ascii="Arial" w:cs="Arial" w:eastAsia="Arial" w:hAnsi="Arial"/>
                <w:color w:val="6B6B6B"/>
                <w:sz w:val="18"/>
                <w:szCs w:val="18"/>
              </w:rPr>
              <w:t xml:space="preserve">Time to full product launch</w:t>
            </w:r>
          </w:p>
        </w:tc>
        <w:tc>
          <w:tcPr>
            <w:tcW w:type="dxa" w:w="2340"/>
            <w:tcBorders>
              <w:top w:val="single" w:color="0B6E4F" w:sz="4"/>
              <w:left w:val="none" w:color="FFFFFF" w:sz="0"/>
              <w:bottom w:val="none" w:color="FFFFFF" w:sz="0"/>
              <w:right w:val="none" w:color="FFFFFF" w:sz="0"/>
            </w:tcBorders>
            <w:shd w:fill="EAF5F0" w:val="clear"/>
            <w:tcMar>
              <w:top w:type="dxa" w:w="160"/>
              <w:left w:type="dxa" w:w="180"/>
              <w:bottom w:type="dxa" w:w="160"/>
              <w:right w:type="dxa" w:w="180"/>
            </w:tcMar>
          </w:tcPr>
          <w:p>
            <w:pPr>
              <w:jc w:val="center"/>
            </w:pPr>
            <w:r>
              <w:rPr>
                <w:rFonts w:ascii="Arial" w:cs="Arial" w:eastAsia="Arial" w:hAnsi="Arial"/>
                <w:b/>
                <w:bCs/>
                <w:color w:val="0B6E4F"/>
                <w:sz w:val="52"/>
                <w:szCs w:val="52"/>
              </w:rPr>
              <w:t xml:space="preserve">↑↑</w:t>
            </w:r>
          </w:p>
          <w:p>
            <w:pPr>
              <w:spacing w:before="40"/>
              <w:jc w:val="center"/>
            </w:pPr>
            <w:r>
              <w:rPr>
                <w:rFonts w:ascii="Arial" w:cs="Arial" w:eastAsia="Arial" w:hAnsi="Arial"/>
                <w:color w:val="6B6B6B"/>
                <w:sz w:val="18"/>
                <w:szCs w:val="18"/>
              </w:rPr>
              <w:t xml:space="preserve">Lead conversion rate (post-capture experiment)</w:t>
            </w:r>
          </w:p>
        </w:tc>
        <w:tc>
          <w:tcPr>
            <w:tcW w:type="dxa" w:w="2340"/>
            <w:tcBorders>
              <w:top w:val="single" w:color="0B6E4F" w:sz="4"/>
              <w:left w:val="none" w:color="FFFFFF" w:sz="0"/>
              <w:bottom w:val="none" w:color="FFFFFF" w:sz="0"/>
              <w:right w:val="none" w:color="FFFFFF" w:sz="0"/>
            </w:tcBorders>
            <w:shd w:fill="EAF5F0" w:val="clear"/>
            <w:tcMar>
              <w:top w:type="dxa" w:w="160"/>
              <w:left w:type="dxa" w:w="180"/>
              <w:bottom w:type="dxa" w:w="160"/>
              <w:right w:type="dxa" w:w="180"/>
            </w:tcMar>
          </w:tcPr>
          <w:p>
            <w:pPr>
              <w:jc w:val="center"/>
            </w:pPr>
            <w:r>
              <w:rPr>
                <w:rFonts w:ascii="Arial" w:cs="Arial" w:eastAsia="Arial" w:hAnsi="Arial"/>
                <w:b/>
                <w:bCs/>
                <w:color w:val="0B6E4F"/>
                <w:sz w:val="52"/>
                <w:szCs w:val="52"/>
              </w:rPr>
              <w:t xml:space="preserve">↑↑</w:t>
            </w:r>
          </w:p>
          <w:p>
            <w:pPr>
              <w:spacing w:before="40"/>
              <w:jc w:val="center"/>
            </w:pPr>
            <w:r>
              <w:rPr>
                <w:rFonts w:ascii="Arial" w:cs="Arial" w:eastAsia="Arial" w:hAnsi="Arial"/>
                <w:color w:val="6B6B6B"/>
                <w:sz w:val="18"/>
                <w:szCs w:val="18"/>
              </w:rPr>
              <w:t xml:space="preserve">Plan document downloads post-card redesign</w:t>
            </w:r>
          </w:p>
        </w:tc>
        <w:tc>
          <w:tcPr>
            <w:tcW w:type="dxa" w:w="2340"/>
            <w:tcBorders>
              <w:top w:val="single" w:color="0B6E4F" w:sz="4"/>
              <w:left w:val="none" w:color="FFFFFF" w:sz="0"/>
              <w:bottom w:val="none" w:color="FFFFFF" w:sz="0"/>
              <w:right w:val="none" w:color="FFFFFF" w:sz="0"/>
            </w:tcBorders>
            <w:shd w:fill="EAF5F0" w:val="clear"/>
            <w:tcMar>
              <w:top w:type="dxa" w:w="160"/>
              <w:left w:type="dxa" w:w="180"/>
              <w:bottom w:type="dxa" w:w="160"/>
              <w:right w:type="dxa" w:w="180"/>
            </w:tcMar>
          </w:tcPr>
          <w:p>
            <w:pPr>
              <w:jc w:val="center"/>
            </w:pPr>
            <w:r>
              <w:rPr>
                <w:rFonts w:ascii="Arial" w:cs="Arial" w:eastAsia="Arial" w:hAnsi="Arial"/>
                <w:b/>
                <w:bCs/>
                <w:color w:val="0B6E4F"/>
                <w:sz w:val="52"/>
                <w:szCs w:val="52"/>
              </w:rPr>
              <w:t xml:space="preserve">−</w:t>
            </w:r>
          </w:p>
          <w:p>
            <w:pPr>
              <w:spacing w:before="40"/>
              <w:jc w:val="center"/>
            </w:pPr>
            <w:r>
              <w:rPr>
                <w:rFonts w:ascii="Arial" w:cs="Arial" w:eastAsia="Arial" w:hAnsi="Arial"/>
                <w:color w:val="6B6B6B"/>
                <w:sz w:val="18"/>
                <w:szCs w:val="18"/>
              </w:rPr>
              <w:t xml:space="preserve">Acquisition cost vs traditional development</w:t>
            </w:r>
          </w:p>
        </w:tc>
      </w:tr>
    </w:tbl>
    <w:p>
      <w:pPr>
        <w:spacing w:before="160" w:after="0"/>
      </w:pPr>
      <w:r>
        <w:t xml:space="preserve"/>
      </w:r>
    </w:p>
    <w:p>
      <w:pPr>
        <w:spacing w:before="80" w:after="80" w:line="320"/>
      </w:pPr>
      <w:r>
        <w:rPr>
          <w:rFonts w:ascii="Arial" w:cs="Arial" w:eastAsia="Arial" w:hAnsi="Arial"/>
          <w:color w:val="1A1A1A"/>
          <w:sz w:val="22"/>
          <w:szCs w:val="22"/>
        </w:rPr>
        <w:t xml:space="preserve">Note: specific conversion figures are confidential under NDA. Results are directional and validated by the data analytics team.</w:t>
      </w:r>
    </w:p>
    <w:p>
      <w:pPr>
        <w:spacing w:before="80" w:after="0"/>
      </w:pPr>
      <w:r>
        <w:t xml:space="preserve"/>
      </w:r>
    </w:p>
    <w:p>
      <w:pPr>
        <w:spacing w:before="80" w:after="80" w:line="320"/>
      </w:pPr>
      <w:r>
        <w:rPr>
          <w:rFonts w:ascii="Arial" w:cs="Arial" w:eastAsia="Arial" w:hAnsi="Arial"/>
          <w:color w:val="1A1A1A"/>
          <w:sz w:val="22"/>
          <w:szCs w:val="22"/>
        </w:rPr>
        <w:t xml:space="preserve">Beyond the numbers, the team built something equally valuable: an internal culture of evidence-based design in a company that had previously operated on stakeholder intuition. The shift from 'I think users want X' to 'here's what the data shows' was a direct outcome of the experimentation model I built.</w:t>
      </w:r>
    </w:p>
    <w:p>
      <w:pPr>
        <w:spacing w:before="80" w:after="0"/>
      </w:pPr>
      <w:r>
        <w:t xml:space="preserve"/>
      </w:r>
    </w:p>
    <w:p>
      <w:pPr>
        <w:pBdr>
          <w:left w:val="single" w:color="0B6E4F" w:sz="12" w:space="12"/>
        </w:pBdr>
        <w:spacing w:before="160" w:after="160"/>
        <w:ind w:left="560"/>
      </w:pPr>
      <w:r>
        <w:rPr>
          <w:rFonts w:ascii="Arial" w:cs="Arial" w:eastAsia="Arial" w:hAnsi="Arial"/>
          <w:color w:val="6B6B6B"/>
          <w:sz w:val="22"/>
          <w:szCs w:val="22"/>
        </w:rPr>
        <w:t xml:space="preserve">"With the results of the squad we have confirmed to Management that we do not need large resources to do research — failing fast allows us to find findings more frequently and reduce acquisition costs." — Internal stakeholder review</w:t>
      </w:r>
    </w:p>
    <w:p>
      <w:pPr>
        <w:spacing w:before="160" w:after="0"/>
      </w:pPr>
      <w:r>
        <w:t xml:space="preserve"/>
      </w:r>
    </w:p>
    <w:p>
      <w:pPr>
        <w:pStyle w:val="Heading2"/>
        <w:pBdr>
          <w:bottom w:val="single" w:color="0B6E4F" w:sz="4" w:space="4"/>
        </w:pBdr>
        <w:spacing w:before="320" w:after="120"/>
      </w:pPr>
      <w:r>
        <w:rPr>
          <w:rFonts w:ascii="Arial" w:cs="Arial" w:eastAsia="Arial" w:hAnsi="Arial"/>
          <w:b/>
          <w:bCs/>
          <w:color w:val="0B6E4F"/>
          <w:sz w:val="26"/>
          <w:szCs w:val="26"/>
        </w:rPr>
        <w:t xml:space="preserve">07 — Key learnings</w:t>
      </w:r>
    </w:p>
    <w:p>
      <w:pPr>
        <w:spacing w:before="200" w:after="80"/>
      </w:pPr>
      <w:r>
        <w:rPr>
          <w:rFonts w:ascii="Arial" w:cs="Arial" w:eastAsia="Arial" w:hAnsi="Arial"/>
          <w:b/>
          <w:bCs/>
          <w:color w:val="074D36"/>
          <w:sz w:val="22"/>
          <w:szCs w:val="22"/>
        </w:rPr>
        <w:t xml:space="preserve">Structure determines speed</w:t>
      </w:r>
    </w:p>
    <w:p>
      <w:pPr>
        <w:spacing w:before="80" w:after="80" w:line="320"/>
      </w:pPr>
      <w:r>
        <w:rPr>
          <w:rFonts w:ascii="Arial" w:cs="Arial" w:eastAsia="Arial" w:hAnsi="Arial"/>
          <w:color w:val="1A1A1A"/>
          <w:sz w:val="22"/>
          <w:szCs w:val="22"/>
        </w:rPr>
        <w:t xml:space="preserve">The most impactful design decision I made in this project wasn't a UI choice — it was a team structure choice. Creating a dedicated experimentation squad with its own autonomy and resourcing unlocked a level of iteration speed that was impossible before. If you want to do evidence-based design at scale, you have to design the team as carefully as you design the product.</w:t>
      </w:r>
    </w:p>
    <w:p>
      <w:pPr>
        <w:spacing w:before="80" w:after="0"/>
      </w:pPr>
      <w:r>
        <w:t xml:space="preserve"/>
      </w:r>
    </w:p>
    <w:p>
      <w:pPr>
        <w:spacing w:before="200" w:after="80"/>
      </w:pPr>
      <w:r>
        <w:rPr>
          <w:rFonts w:ascii="Arial" w:cs="Arial" w:eastAsia="Arial" w:hAnsi="Arial"/>
          <w:b/>
          <w:bCs/>
          <w:color w:val="074D36"/>
          <w:sz w:val="22"/>
          <w:szCs w:val="22"/>
        </w:rPr>
        <w:t xml:space="preserve">Regulation as a design input, not a constraint</w:t>
      </w:r>
    </w:p>
    <w:p>
      <w:pPr>
        <w:spacing w:before="80" w:after="80" w:line="320"/>
      </w:pPr>
      <w:r>
        <w:rPr>
          <w:rFonts w:ascii="Arial" w:cs="Arial" w:eastAsia="Arial" w:hAnsi="Arial"/>
          <w:color w:val="1A1A1A"/>
          <w:sz w:val="22"/>
          <w:szCs w:val="22"/>
        </w:rPr>
        <w:t xml:space="preserve">Working within 466 pages of regulatory requirements could have paralysed the process. Instead, I treated the compendium as primary research — a source of hard constraints that, once understood, gave us clarity on where we had freedom to simplify. Designers who avoid regulatory reading miss the most important source of product truth in regulated industries.</w:t>
      </w:r>
    </w:p>
    <w:p>
      <w:pPr>
        <w:spacing w:before="80" w:after="0"/>
      </w:pPr>
      <w:r>
        <w:t xml:space="preserve"/>
      </w:r>
    </w:p>
    <w:p>
      <w:pPr>
        <w:spacing w:before="200" w:after="80"/>
      </w:pPr>
      <w:r>
        <w:rPr>
          <w:rFonts w:ascii="Arial" w:cs="Arial" w:eastAsia="Arial" w:hAnsi="Arial"/>
          <w:b/>
          <w:bCs/>
          <w:color w:val="074D36"/>
          <w:sz w:val="22"/>
          <w:szCs w:val="22"/>
        </w:rPr>
        <w:t xml:space="preserve">Proving design value in an analog organization</w:t>
      </w:r>
    </w:p>
    <w:p>
      <w:pPr>
        <w:spacing w:before="80" w:after="80" w:line="320"/>
      </w:pPr>
      <w:r>
        <w:rPr>
          <w:rFonts w:ascii="Arial" w:cs="Arial" w:eastAsia="Arial" w:hAnsi="Arial"/>
          <w:color w:val="1A1A1A"/>
          <w:sz w:val="22"/>
          <w:szCs w:val="22"/>
        </w:rPr>
        <w:t xml:space="preserve">Esencial was a digital-first product inside a company with deeply analog instincts. Every design decision required making the business case in business terms — not design terms. That discipline — translating UX outcomes into acquisition cost, conversion rate and operational efficiency — is what earned the design team a seat at the strategy table.</w:t>
      </w:r>
    </w:p>
    <w:p>
      <w:pPr>
        <w:spacing w:before="80" w:after="0"/>
      </w:pPr>
      <w:r>
        <w:t xml:space="preserve"/>
      </w:r>
    </w:p>
    <w:p>
      <w:pPr>
        <w:pBdr>
          <w:bottom w:val="single" w:color="DDDDDD" w:sz="2" w:space="1"/>
        </w:pBdr>
        <w:spacing w:before="200" w:after="200"/>
      </w:pPr>
      <w:r>
        <w:t xml:space="preserve"/>
      </w:r>
    </w:p>
    <w:p>
      <w:pPr>
        <w:spacing w:before="120" w:after="60"/>
      </w:pPr>
      <w:r>
        <w:rPr>
          <w:rFonts w:ascii="Arial" w:cs="Arial" w:eastAsia="Arial" w:hAnsi="Arial"/>
          <w:color w:val="6B6B6B"/>
          <w:sz w:val="18"/>
          <w:szCs w:val="18"/>
        </w:rPr>
        <w:t xml:space="preserve">Pamela Zárate Martel  ·  Senior Product Designer</w:t>
      </w:r>
    </w:p>
    <w:p>
      <w:pPr>
        <w:spacing w:before="0" w:after="0"/>
      </w:pPr>
      <w:r>
        <w:rPr>
          <w:rFonts w:ascii="Arial" w:cs="Arial" w:eastAsia="Arial" w:hAnsi="Arial"/>
          <w:color w:val="0B6E4F"/>
          <w:sz w:val="18"/>
          <w:szCs w:val="18"/>
        </w:rPr>
        <w:t xml:space="preserve">p.zaratemartel@gmail.com  ·  zaratemartel.super.site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Claude" w:date="2026-03-17T15:54:56Z" w:initials="C">
    <w:p w14:paraId="5AE8DB28" w14:textId="77777777">
      <w:r>
        <w:rPr>
          <w:rStyle w:val="CommentReference"/>
        </w:rPr>
        <w:annotationRef/>
      </w:r>
      <w:r>
        <w:rPr>
          <w:color w:val="000000"/>
          <w:sz w:val="20"/>
          <w:szCs w:val="20"/>
        </w:rPr>
        <w:t>IMAGE SUGGESTION: Overview screenshot or mockup of the final Esencial platform — ideally the sales simulation flow on desktop and mobile side by side. Sets the visual tone and shows the product scope immediately.</w:t>
      </w:r>
    </w:p>
  </w:comment>
  <w:comment w:id="1" w:author="Claude" w:date="2026-03-17T15:54:56Z" w:initials="C">
    <w:p w14:paraId="119550BE" w14:textId="77777777">
      <w:r>
        <w:rPr>
          <w:rStyle w:val="CommentReference"/>
        </w:rPr>
        <w:annotationRef/>
      </w:r>
      <w:r>
        <w:rPr>
          <w:color w:val="000000"/>
          <w:sz w:val="20"/>
          <w:szCs w:val="20"/>
        </w:rPr>
        <w:t>IMAGE SUGGESTION: Benchmark matrix of the 5 competing isapres — a comparison table or radar chart showing how each competitor scored across your 6 UX dimensions. This artefact demonstrates strategic research rigour.</w:t>
      </w:r>
    </w:p>
  </w:comment>
  <w:comment w:id="2" w:author="Claude" w:date="2026-03-17T15:54:56Z" w:initials="C">
    <w:p w14:paraId="28F9A360" w14:textId="77777777">
      <w:r>
        <w:rPr>
          <w:rStyle w:val="CommentReference"/>
        </w:rPr>
        <w:annotationRef/>
      </w:r>
      <w:r>
        <w:rPr>
          <w:color w:val="000000"/>
          <w:sz w:val="20"/>
          <w:szCs w:val="20"/>
        </w:rPr>
        <w:t>IMAGE SUGGESTION: MVP flow definition diagram — the original first-version flow with 6 questions, results view and plan detail. You have this from the original case (image_2.svg). Shows how the product scope was distilled from regulatory complexity.</w:t>
      </w:r>
    </w:p>
  </w:comment>
  <w:comment w:id="3" w:author="Claude" w:date="2026-03-17T15:54:57Z" w:initials="C">
    <w:p w14:paraId="4A828E64" w14:textId="77777777">
      <w:r>
        <w:rPr>
          <w:rStyle w:val="CommentReference"/>
        </w:rPr>
        <w:annotationRef/>
      </w:r>
      <w:r>
        <w:rPr>
          <w:color w:val="000000"/>
          <w:sz w:val="20"/>
          <w:szCs w:val="20"/>
        </w:rPr>
        <w:t>IMAGE SUGGESTION: First wireframes of the sales flow (low fidelity). You have these from the original case (Group_11323.png). Caption should clarify these were the pre-launch MVP wireframes monitored post-launch with Hotjar.</w:t>
      </w:r>
    </w:p>
  </w:comment>
  <w:comment w:id="4" w:author="Claude" w:date="2026-03-17T15:54:57Z" w:initials="C">
    <w:p w14:paraId="7017A63C" w14:textId="77777777">
      <w:r>
        <w:rPr>
          <w:rStyle w:val="CommentReference"/>
        </w:rPr>
        <w:annotationRef/>
      </w:r>
      <w:r>
        <w:rPr>
          <w:color w:val="000000"/>
          <w:sz w:val="20"/>
          <w:szCs w:val="20"/>
        </w:rPr>
        <w:t>IMAGE SUGGESTION: A/B test examples — the two variants of the results page or plan card layout side by side, with brief annotations explaining the hypothesis and the winning variant. You have these from the original case (Group_11323 1.png and Group_11324.png).</w:t>
      </w:r>
    </w:p>
  </w:comment>
  <w:comment w:id="5" w:author="Claude" w:date="2026-03-17T15:54:57Z" w:initials="C">
    <w:p w14:paraId="295BECCE" w14:textId="77777777">
      <w:r>
        <w:rPr>
          <w:rStyle w:val="CommentReference"/>
        </w:rPr>
        <w:annotationRef/>
      </w:r>
      <w:r>
        <w:rPr>
          <w:color w:val="000000"/>
          <w:sz w:val="20"/>
          <w:szCs w:val="20"/>
        </w:rPr>
        <w:t>IMAGE SUGGESTION: Component library screenshot from Figma — showing the design system tokens, key UI components (plan card, form elements, buttons) and their documented states. Even a partial screenshot establishes Design Systems credibility for recruiters.</w:t>
      </w:r>
    </w:p>
  </w:comment>
  <w:comment w:id="6" w:author="Claude" w:date="2026-03-17T15:54:57Z" w:initials="C">
    <w:p w14:paraId="099DCD2F" w14:textId="77777777">
      <w:r>
        <w:rPr>
          <w:rStyle w:val="CommentReference"/>
        </w:rPr>
        <w:annotationRef/>
      </w:r>
      <w:r>
        <w:rPr>
          <w:color w:val="000000"/>
          <w:sz w:val="20"/>
          <w:szCs w:val="20"/>
        </w:rPr>
        <w:t>IMAGE SUGGESTION: Team structure diagram — a simple visual showing the two-team model (maintenance cell vs experimentation squad) with roles and the separation of responsibilities. Illustrates the leadership decision visually.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E8DB28" w15:done="0"/>
  <w15:commentEx w15:paraId="119550BE" w15:done="0"/>
  <w15:commentEx w15:paraId="28F9A360" w15:done="0"/>
  <w15:commentEx w15:paraId="4A828E64" w15:done="0"/>
  <w15:commentEx w15:paraId="7017A63C" w15:done="0"/>
  <w15:commentEx w15:paraId="295BECCE" w15:done="0"/>
  <w15:commentEx w15:paraId="099DCD2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109D471C" w16cex:dateUtc="2026-03-17T15:54:56Z"/>
  <w16cex:commentExtensible w16cex:durableId="166BD50B" w16cex:dateUtc="2026-03-17T15:54:56Z"/>
  <w16cex:commentExtensible w16cex:durableId="49B4012C" w16cex:dateUtc="2026-03-17T15:54:56Z"/>
  <w16cex:commentExtensible w16cex:durableId="10A2D77E" w16cex:dateUtc="2026-03-17T15:54:57Z"/>
  <w16cex:commentExtensible w16cex:durableId="64DC5D20" w16cex:dateUtc="2026-03-17T15:54:57Z"/>
  <w16cex:commentExtensible w16cex:durableId="68947C28" w16cex:dateUtc="2026-03-17T15:54:57Z"/>
  <w16cex:commentExtensible w16cex:durableId="0F491D5E" w16cex:dateUtc="2026-03-17T15:54:57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E8DB28" w16cid:durableId="109D471C"/>
  <w16cid:commentId w16cid:paraId="119550BE" w16cid:durableId="166BD50B"/>
  <w16cid:commentId w16cid:paraId="28F9A360" w16cid:durableId="49B4012C"/>
  <w16cid:commentId w16cid:paraId="4A828E64" w16cid:durableId="10A2D77E"/>
  <w16cid:commentId w16cid:paraId="7017A63C" w16cid:durableId="64DC5D20"/>
  <w16cid:commentId w16cid:paraId="295BECCE" w16cid:durableId="68947C28"/>
  <w16cid:commentId w16cid:paraId="099DCD2F" w16cid:durableId="0F491D5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40"/>
      <w:szCs w:val="40"/>
    </w:rPr>
  </w:style>
  <w:style w:type="paragraph" w:styleId="Heading2">
    <w:name w:val="Heading 2"/>
    <w:basedOn w:val="Normal"/>
    <w:next w:val="Normal"/>
    <w:qFormat/>
    <w:pPr>
      <w:spacing w:before="32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 Id="rId7" Type="http://schemas.microsoft.com/office/2011/relationships/commentsExtended" Target="commentsExtended.xml"/><Relationship Id="rId8" Type="http://schemas.microsoft.com/office/2018/relationships/commentsExtensible" Target="commentsExtensible.xml"/><Relationship Id="rId9" Type="http://schemas.microsoft.com/office/2016/09/relationships/commentsIds" Target="commentsId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2026-03-17T15:34:53.820Z</dcterms:created>
  <dcterms:modified xsi:type="dcterms:W3CDTF">2026-03-17T15:34:53.821Z</dcterms:modified>
</cp:coreProperties>
</file>

<file path=docProps/custom.xml><?xml version="1.0" encoding="utf-8"?>
<Properties xmlns="http://schemas.openxmlformats.org/officeDocument/2006/custom-properties" xmlns:vt="http://schemas.openxmlformats.org/officeDocument/2006/docPropsVTypes"/>
</file>