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r>
        <w:t xml:space="preserve"/>
      </w:r>
    </w:p>
    <w:p>
      <w:pPr>
        <w:spacing w:before="0" w:after="80"/>
      </w:pPr>
      <w:r>
        <w:rPr>
          <w:rFonts w:ascii="Arial" w:cs="Arial" w:eastAsia="Arial" w:hAnsi="Arial"/>
          <w:b/>
          <w:bCs/>
          <w:color w:val="6B7CF6"/>
          <w:sz w:val="18"/>
          <w:szCs w:val="18"/>
        </w:rPr>
        <w:t xml:space="preserve">CASE STUDY</w:t>
      </w:r>
    </w:p>
    <w:p>
      <w:pPr>
        <w:spacing w:before="0" w:after="120"/>
      </w:pPr>
      <w:r>
        <w:rPr>
          <w:rFonts w:ascii="Arial" w:cs="Arial" w:eastAsia="Arial" w:hAnsi="Arial"/>
          <w:b/>
          <w:bCs/>
          <w:color w:val="1A1A2E"/>
          <w:sz w:val="44"/>
          <w:szCs w:val="44"/>
        </w:rPr>
        <w:t xml:space="preserve">Designing Gloria: an AI-powered conversational experience for SME discovery</w:t>
      </w:r>
    </w:p>
    <w:p>
      <w:pPr>
        <w:spacing w:before="0" w:after="200"/>
      </w:pPr>
      <w:r>
        <w:rPr>
          <w:rFonts w:ascii="Arial" w:cs="Arial" w:eastAsia="Arial" w:hAnsi="Arial"/>
          <w:color w:val="6B6B80"/>
          <w:sz w:val="22"/>
          <w:szCs w:val="22"/>
        </w:rPr>
        <w:t xml:space="preserve">How I designed the UX strategy, AI personality, and conversational flows for a national government platform that connected thousands of small businesses with their communities during the COVID-19 pandemic.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EF0FD" w:val="clear"/>
            <w:tcMar>
              <w:top w:type="dxa" w:w="80"/>
              <w:left w:type="dxa" w:w="120"/>
              <w:bottom w:type="dxa" w:w="80"/>
              <w:right w:type="dxa" w:w="120"/>
            </w:tcMar>
          </w:tcPr>
          <w:p>
            <w:pPr>
              <w:jc w:val="center"/>
            </w:pPr>
            <w:r>
              <w:rPr>
                <w:rFonts w:ascii="Arial" w:cs="Arial" w:eastAsia="Arial" w:hAnsi="Arial"/>
                <w:b/>
                <w:bCs/>
                <w:color w:val="3B4FE4"/>
                <w:sz w:val="18"/>
                <w:szCs w:val="18"/>
              </w:rPr>
              <w:t xml:space="preserve">Conversational AI / Chatbot UX</w:t>
            </w:r>
          </w:p>
        </w:tc>
        <w:tc>
          <w:tcPr>
            <w:tcW w:type="dxa" w:w="1872"/>
            <w:tcBorders>
              <w:top w:val="none" w:color="FFFFFF" w:sz="0"/>
              <w:left w:val="none" w:color="FFFFFF" w:sz="0"/>
              <w:bottom w:val="none" w:color="FFFFFF" w:sz="0"/>
              <w:right w:val="none" w:color="FFFFFF" w:sz="0"/>
            </w:tcBorders>
            <w:shd w:fill="EEF0FD" w:val="clear"/>
            <w:tcMar>
              <w:top w:type="dxa" w:w="80"/>
              <w:left w:type="dxa" w:w="120"/>
              <w:bottom w:type="dxa" w:w="80"/>
              <w:right w:type="dxa" w:w="120"/>
            </w:tcMar>
          </w:tcPr>
          <w:p>
            <w:pPr>
              <w:jc w:val="center"/>
            </w:pPr>
            <w:r>
              <w:rPr>
                <w:rFonts w:ascii="Arial" w:cs="Arial" w:eastAsia="Arial" w:hAnsi="Arial"/>
                <w:b/>
                <w:bCs/>
                <w:color w:val="3B4FE4"/>
                <w:sz w:val="18"/>
                <w:szCs w:val="18"/>
              </w:rPr>
              <w:t xml:space="preserve">Information Architecture</w:t>
            </w:r>
          </w:p>
        </w:tc>
        <w:tc>
          <w:tcPr>
            <w:tcW w:type="dxa" w:w="1872"/>
            <w:tcBorders>
              <w:top w:val="none" w:color="FFFFFF" w:sz="0"/>
              <w:left w:val="none" w:color="FFFFFF" w:sz="0"/>
              <w:bottom w:val="none" w:color="FFFFFF" w:sz="0"/>
              <w:right w:val="none" w:color="FFFFFF" w:sz="0"/>
            </w:tcBorders>
            <w:shd w:fill="EEF0FD" w:val="clear"/>
            <w:tcMar>
              <w:top w:type="dxa" w:w="80"/>
              <w:left w:type="dxa" w:w="120"/>
              <w:bottom w:type="dxa" w:w="80"/>
              <w:right w:type="dxa" w:w="120"/>
            </w:tcMar>
          </w:tcPr>
          <w:p>
            <w:pPr>
              <w:jc w:val="center"/>
            </w:pPr>
            <w:r>
              <w:rPr>
                <w:rFonts w:ascii="Arial" w:cs="Arial" w:eastAsia="Arial" w:hAnsi="Arial"/>
                <w:b/>
                <w:bCs/>
                <w:color w:val="3B4FE4"/>
                <w:sz w:val="18"/>
                <w:szCs w:val="18"/>
              </w:rPr>
              <w:t xml:space="preserve">UX Research &amp; Co-creation</w:t>
            </w:r>
          </w:p>
        </w:tc>
        <w:tc>
          <w:tcPr>
            <w:tcW w:type="dxa" w:w="1872"/>
            <w:tcBorders>
              <w:top w:val="none" w:color="FFFFFF" w:sz="0"/>
              <w:left w:val="none" w:color="FFFFFF" w:sz="0"/>
              <w:bottom w:val="none" w:color="FFFFFF" w:sz="0"/>
              <w:right w:val="none" w:color="FFFFFF" w:sz="0"/>
            </w:tcBorders>
            <w:shd w:fill="EEF0FD" w:val="clear"/>
            <w:tcMar>
              <w:top w:type="dxa" w:w="80"/>
              <w:left w:type="dxa" w:w="120"/>
              <w:bottom w:type="dxa" w:w="80"/>
              <w:right w:type="dxa" w:w="120"/>
            </w:tcMar>
          </w:tcPr>
          <w:p>
            <w:pPr>
              <w:jc w:val="center"/>
            </w:pPr>
            <w:r>
              <w:rPr>
                <w:rFonts w:ascii="Arial" w:cs="Arial" w:eastAsia="Arial" w:hAnsi="Arial"/>
                <w:b/>
                <w:bCs/>
                <w:color w:val="3B4FE4"/>
                <w:sz w:val="18"/>
                <w:szCs w:val="18"/>
              </w:rPr>
              <w:t xml:space="preserve">Content Strategy</w:t>
            </w:r>
          </w:p>
        </w:tc>
        <w:tc>
          <w:tcPr>
            <w:tcW w:type="dxa" w:w="1872"/>
            <w:tcBorders>
              <w:top w:val="none" w:color="FFFFFF" w:sz="0"/>
              <w:left w:val="none" w:color="FFFFFF" w:sz="0"/>
              <w:bottom w:val="none" w:color="FFFFFF" w:sz="0"/>
              <w:right w:val="none" w:color="FFFFFF" w:sz="0"/>
            </w:tcBorders>
            <w:shd w:fill="EEF0FD" w:val="clear"/>
            <w:tcMar>
              <w:top w:type="dxa" w:w="80"/>
              <w:left w:type="dxa" w:w="120"/>
              <w:bottom w:type="dxa" w:w="80"/>
              <w:right w:type="dxa" w:w="120"/>
            </w:tcMar>
          </w:tcPr>
          <w:p>
            <w:pPr>
              <w:jc w:val="center"/>
            </w:pPr>
            <w:r>
              <w:rPr>
                <w:rFonts w:ascii="Arial" w:cs="Arial" w:eastAsia="Arial" w:hAnsi="Arial"/>
                <w:b/>
                <w:bCs/>
                <w:color w:val="3B4FE4"/>
                <w:sz w:val="18"/>
                <w:szCs w:val="18"/>
              </w:rPr>
              <w:t xml:space="preserve">Product Design</w:t>
            </w:r>
          </w:p>
        </w:tc>
      </w:tr>
    </w:tbl>
    <w:p>
      <w:pPr>
        <w:spacing w:before="80" w:after="0"/>
      </w:pPr>
      <w:r>
        <w:t xml:space="preserve"/>
      </w:r>
    </w:p>
    <w:p>
      <w:pPr>
        <w:spacing w:before="0" w:after="60"/>
      </w:pPr>
      <w:r>
        <w:rPr>
          <w:rFonts w:ascii="Arial" w:cs="Arial" w:eastAsia="Arial" w:hAnsi="Arial"/>
          <w:b/>
          <w:bCs/>
          <w:color w:val="1A2780"/>
          <w:sz w:val="20"/>
          <w:szCs w:val="20"/>
        </w:rPr>
        <w:t xml:space="preserve">Client: </w:t>
      </w:r>
      <w:r>
        <w:rPr>
          <w:rFonts w:ascii="Arial" w:cs="Arial" w:eastAsia="Arial" w:hAnsi="Arial"/>
          <w:color w:val="1A1A2E"/>
          <w:sz w:val="20"/>
          <w:szCs w:val="20"/>
        </w:rPr>
        <w:t xml:space="preserve">Ministry of Economy, Development and Tourism of Chile</w:t>
      </w:r>
    </w:p>
    <w:p>
      <w:pPr>
        <w:spacing w:before="0" w:after="60"/>
      </w:pPr>
      <w:r>
        <w:rPr>
          <w:rFonts w:ascii="Arial" w:cs="Arial" w:eastAsia="Arial" w:hAnsi="Arial"/>
          <w:b/>
          <w:bCs/>
          <w:color w:val="1A2780"/>
          <w:sz w:val="20"/>
          <w:szCs w:val="20"/>
        </w:rPr>
        <w:t xml:space="preserve">Year: </w:t>
      </w:r>
      <w:r>
        <w:rPr>
          <w:rFonts w:ascii="Arial" w:cs="Arial" w:eastAsia="Arial" w:hAnsi="Arial"/>
          <w:color w:val="1A1A2E"/>
          <w:sz w:val="20"/>
          <w:szCs w:val="20"/>
        </w:rPr>
        <w:t xml:space="preserve">2020  |  </w:t>
      </w:r>
      <w:r>
        <w:rPr>
          <w:rFonts w:ascii="Arial" w:cs="Arial" w:eastAsia="Arial" w:hAnsi="Arial"/>
          <w:b/>
          <w:bCs/>
          <w:color w:val="1A2780"/>
          <w:sz w:val="20"/>
          <w:szCs w:val="20"/>
        </w:rPr>
        <w:t xml:space="preserve">Role: </w:t>
      </w:r>
      <w:r>
        <w:rPr>
          <w:rFonts w:ascii="Arial" w:cs="Arial" w:eastAsia="Arial" w:hAnsi="Arial"/>
          <w:color w:val="1A1A2E"/>
          <w:sz w:val="20"/>
          <w:szCs w:val="20"/>
        </w:rPr>
        <w:t xml:space="preserve">UX Consultant (solo)  |  </w:t>
      </w:r>
      <w:r>
        <w:rPr>
          <w:rFonts w:ascii="Arial" w:cs="Arial" w:eastAsia="Arial" w:hAnsi="Arial"/>
          <w:b/>
          <w:bCs/>
          <w:color w:val="1A2780"/>
          <w:sz w:val="20"/>
          <w:szCs w:val="20"/>
        </w:rPr>
        <w:t xml:space="preserve">Tools: </w:t>
      </w:r>
      <w:r>
        <w:rPr>
          <w:rFonts w:ascii="Arial" w:cs="Arial" w:eastAsia="Arial" w:hAnsi="Arial"/>
          <w:color w:val="1A1A2E"/>
          <w:sz w:val="20"/>
          <w:szCs w:val="20"/>
        </w:rPr>
        <w:t xml:space="preserve">Figma, Miro, conversational design frameworks</w:t>
      </w:r>
    </w:p>
    <w:p>
      <w:pPr>
        <w:pBdr>
          <w:bottom w:val="single" w:color="DDDDEE" w:sz="2" w:space="1"/>
        </w:pBdr>
        <w:spacing w:before="200" w:after="20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B4FE4" w:sz="4"/>
              <w:left w:val="none" w:color="FFFFFF" w:sz="0"/>
              <w:bottom w:val="none" w:color="FFFFFF" w:sz="0"/>
              <w:right w:val="none" w:color="FFFFFF" w:sz="0"/>
            </w:tcBorders>
            <w:shd w:fill="EEF0FD" w:val="clear"/>
            <w:tcMar>
              <w:top w:type="dxa" w:w="160"/>
              <w:left w:type="dxa" w:w="180"/>
              <w:bottom w:type="dxa" w:w="160"/>
              <w:right w:type="dxa" w:w="180"/>
            </w:tcMar>
          </w:tcPr>
          <w:p>
            <w:pPr>
              <w:jc w:val="center"/>
            </w:pPr>
            <w:r>
              <w:rPr>
                <w:rFonts w:ascii="Arial" w:cs="Arial" w:eastAsia="Arial" w:hAnsi="Arial"/>
                <w:b/>
                <w:bCs/>
                <w:color w:val="3B4FE4"/>
                <w:sz w:val="52"/>
                <w:szCs w:val="52"/>
              </w:rPr>
              <w:t xml:space="preserve">+700</w:t>
            </w:r>
          </w:p>
          <w:p>
            <w:pPr>
              <w:spacing w:before="40"/>
              <w:jc w:val="center"/>
            </w:pPr>
            <w:r>
              <w:rPr>
                <w:rFonts w:ascii="Arial" w:cs="Arial" w:eastAsia="Arial" w:hAnsi="Arial"/>
                <w:color w:val="6B6B80"/>
                <w:sz w:val="18"/>
                <w:szCs w:val="18"/>
              </w:rPr>
              <w:t xml:space="preserve">SMEs registered in 2 weeks</w:t>
            </w:r>
          </w:p>
        </w:tc>
        <w:tc>
          <w:tcPr>
            <w:tcW w:type="dxa" w:w="2340"/>
            <w:tcBorders>
              <w:top w:val="single" w:color="3B4FE4" w:sz="4"/>
              <w:left w:val="none" w:color="FFFFFF" w:sz="0"/>
              <w:bottom w:val="none" w:color="FFFFFF" w:sz="0"/>
              <w:right w:val="none" w:color="FFFFFF" w:sz="0"/>
            </w:tcBorders>
            <w:shd w:fill="EEF0FD" w:val="clear"/>
            <w:tcMar>
              <w:top w:type="dxa" w:w="160"/>
              <w:left w:type="dxa" w:w="180"/>
              <w:bottom w:type="dxa" w:w="160"/>
              <w:right w:type="dxa" w:w="180"/>
            </w:tcMar>
          </w:tcPr>
          <w:p>
            <w:pPr>
              <w:jc w:val="center"/>
            </w:pPr>
            <w:r>
              <w:rPr>
                <w:rFonts w:ascii="Arial" w:cs="Arial" w:eastAsia="Arial" w:hAnsi="Arial"/>
                <w:b/>
                <w:bCs/>
                <w:color w:val="3B4FE4"/>
                <w:sz w:val="52"/>
                <w:szCs w:val="52"/>
              </w:rPr>
              <w:t xml:space="preserve">National</w:t>
            </w:r>
          </w:p>
          <w:p>
            <w:pPr>
              <w:spacing w:before="40"/>
              <w:jc w:val="center"/>
            </w:pPr>
            <w:r>
              <w:rPr>
                <w:rFonts w:ascii="Arial" w:cs="Arial" w:eastAsia="Arial" w:hAnsi="Arial"/>
                <w:color w:val="6B6B80"/>
                <w:sz w:val="18"/>
                <w:szCs w:val="18"/>
              </w:rPr>
              <w:t xml:space="preserve">Scale — all of Chile</w:t>
            </w:r>
          </w:p>
        </w:tc>
        <w:tc>
          <w:tcPr>
            <w:tcW w:type="dxa" w:w="2340"/>
            <w:tcBorders>
              <w:top w:val="single" w:color="3B4FE4" w:sz="4"/>
              <w:left w:val="none" w:color="FFFFFF" w:sz="0"/>
              <w:bottom w:val="none" w:color="FFFFFF" w:sz="0"/>
              <w:right w:val="none" w:color="FFFFFF" w:sz="0"/>
            </w:tcBorders>
            <w:shd w:fill="EEF0FD" w:val="clear"/>
            <w:tcMar>
              <w:top w:type="dxa" w:w="160"/>
              <w:left w:type="dxa" w:w="180"/>
              <w:bottom w:type="dxa" w:w="160"/>
              <w:right w:type="dxa" w:w="180"/>
            </w:tcMar>
          </w:tcPr>
          <w:p>
            <w:pPr>
              <w:jc w:val="center"/>
            </w:pPr>
            <w:r>
              <w:rPr>
                <w:rFonts w:ascii="Arial" w:cs="Arial" w:eastAsia="Arial" w:hAnsi="Arial"/>
                <w:b/>
                <w:bCs/>
                <w:color w:val="3B4FE4"/>
                <w:sz w:val="52"/>
                <w:szCs w:val="52"/>
              </w:rPr>
              <w:t xml:space="preserve">2 users</w:t>
            </w:r>
          </w:p>
          <w:p>
            <w:pPr>
              <w:spacing w:before="40"/>
              <w:jc w:val="center"/>
            </w:pPr>
            <w:r>
              <w:rPr>
                <w:rFonts w:ascii="Arial" w:cs="Arial" w:eastAsia="Arial" w:hAnsi="Arial"/>
                <w:color w:val="6B6B80"/>
                <w:sz w:val="18"/>
                <w:szCs w:val="18"/>
              </w:rPr>
              <w:t xml:space="preserve">Two sides of the platform</w:t>
            </w:r>
          </w:p>
        </w:tc>
        <w:tc>
          <w:tcPr>
            <w:tcW w:type="dxa" w:w="2340"/>
            <w:tcBorders>
              <w:top w:val="single" w:color="3B4FE4" w:sz="4"/>
              <w:left w:val="none" w:color="FFFFFF" w:sz="0"/>
              <w:bottom w:val="none" w:color="FFFFFF" w:sz="0"/>
              <w:right w:val="none" w:color="FFFFFF" w:sz="0"/>
            </w:tcBorders>
            <w:shd w:fill="EEF0FD" w:val="clear"/>
            <w:tcMar>
              <w:top w:type="dxa" w:w="160"/>
              <w:left w:type="dxa" w:w="180"/>
              <w:bottom w:type="dxa" w:w="160"/>
              <w:right w:type="dxa" w:w="180"/>
            </w:tcMar>
          </w:tcPr>
          <w:p>
            <w:pPr>
              <w:jc w:val="center"/>
            </w:pPr>
            <w:r>
              <w:rPr>
                <w:rFonts w:ascii="Arial" w:cs="Arial" w:eastAsia="Arial" w:hAnsi="Arial"/>
                <w:b/>
                <w:bCs/>
                <w:color w:val="3B4FE4"/>
                <w:sz w:val="52"/>
                <w:szCs w:val="52"/>
              </w:rPr>
              <w:t xml:space="preserve">24/7</w:t>
            </w:r>
          </w:p>
          <w:p>
            <w:pPr>
              <w:spacing w:before="40"/>
              <w:jc w:val="center"/>
            </w:pPr>
            <w:r>
              <w:rPr>
                <w:rFonts w:ascii="Arial" w:cs="Arial" w:eastAsia="Arial" w:hAnsi="Arial"/>
                <w:color w:val="6B6B80"/>
                <w:sz w:val="18"/>
                <w:szCs w:val="18"/>
              </w:rPr>
              <w:t xml:space="preserve">Gloria available always</w:t>
            </w:r>
          </w:p>
        </w:tc>
      </w:tr>
    </w:tbl>
    <w:p>
      <w:pPr>
        <w:spacing w:before="160" w:after="0"/>
      </w:pPr>
      <w:r>
        <w:t xml:space="preserve"/>
      </w:r>
    </w:p>
    <w:p>
      <w:pPr>
        <w:pStyle w:val="Heading2"/>
        <w:pBdr>
          <w:bottom w:val="single" w:color="3B4FE4" w:sz="4" w:space="4"/>
        </w:pBdr>
        <w:spacing w:before="300" w:after="120"/>
      </w:pPr>
      <w:r>
        <w:rPr>
          <w:rFonts w:ascii="Arial" w:cs="Arial" w:eastAsia="Arial" w:hAnsi="Arial"/>
          <w:b/>
          <w:bCs/>
          <w:color w:val="3B4FE4"/>
          <w:sz w:val="26"/>
          <w:szCs w:val="26"/>
        </w:rPr>
        <w:t xml:space="preserve">01 — Context and problem</w:t>
      </w:r>
    </w:p>
    <w:p>
      <w:pPr>
        <w:spacing w:before="80" w:after="80" w:line="320"/>
      </w:pPr>
      <w:commentRangeStart w:id="0"/>
      <w:r>
        <w:rPr>
          <w:rFonts w:ascii="Arial" w:cs="Arial" w:eastAsia="Arial" w:hAnsi="Arial"/>
          <w:color w:val="1A1A2E"/>
          <w:sz w:val="22"/>
          <w:szCs w:val="22"/>
        </w:rPr>
        <w:t xml:space="preserve">In early 2020, before COVID-19 changed everything, the Ministry of Economy was piloting a local marketplace concept: a platform to connect neighborhood shoppers with small businesses within a 3 km radius, powered by an AI assistant called Gloria.</w:t>
      </w:r>
      <w:commentRangeEnd w:id="0"/>
      <w:r>
        <w:rPr>
          <w:rStyle w:val="CommentReference"/>
        </w:rPr>
        <w:commentReference w:id="0"/>
      </w:r>
    </w:p>
    <w:p>
      <w:pPr>
        <w:spacing w:before="80" w:after="0"/>
      </w:pPr>
      <w:r>
        <w:t xml:space="preserve"/>
      </w:r>
    </w:p>
    <w:p>
      <w:pPr>
        <w:spacing w:before="80" w:after="80" w:line="320"/>
      </w:pPr>
      <w:r>
        <w:rPr>
          <w:rFonts w:ascii="Arial" w:cs="Arial" w:eastAsia="Arial" w:hAnsi="Arial"/>
          <w:color w:val="1A1A2E"/>
          <w:sz w:val="22"/>
          <w:szCs w:val="22"/>
        </w:rPr>
        <w:t xml:space="preserve">When the pandemic hit Chile, the scope transformed overnight. The pilot became a national program. The challenge was no longer about local discovery — it was about economic survival for thousands of small businesses who had no digital presence and no way to reach customers under lockdown.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F4F4F4" w:val="clear"/>
            <w:tcMar>
              <w:top w:type="dxa" w:w="140"/>
              <w:left w:type="dxa" w:w="160"/>
              <w:bottom w:type="dxa" w:w="140"/>
              <w:right w:type="dxa" w:w="160"/>
            </w:tcMar>
          </w:tcPr>
          <w:p>
            <w:pPr>
              <w:spacing w:after="80"/>
            </w:pPr>
            <w:r>
              <w:rPr>
                <w:rFonts w:ascii="Arial" w:cs="Arial" w:eastAsia="Arial" w:hAnsi="Arial"/>
                <w:b/>
                <w:bCs/>
                <w:color w:val="1A2780"/>
                <w:sz w:val="20"/>
                <w:szCs w:val="20"/>
              </w:rPr>
              <w:t xml:space="preserve">The problem</w:t>
            </w:r>
          </w:p>
          <w:p>
            <w:pPr>
              <w:pStyle w:val="ListParagraph"/>
              <w:numPr>
                <w:ilvl w:val="0"/>
                <w:numId w:val="2"/>
              </w:numPr>
              <w:spacing w:before="40" w:after="40"/>
            </w:pPr>
            <w:r>
              <w:rPr>
                <w:rFonts w:ascii="Arial" w:cs="Arial" w:eastAsia="Arial" w:hAnsi="Arial"/>
                <w:color w:val="1A1A2E"/>
                <w:sz w:val="20"/>
                <w:szCs w:val="20"/>
              </w:rPr>
              <w:t xml:space="preserve">Only 13% of Chilean SMEs reported doing e-commerce</w:t>
            </w:r>
          </w:p>
          <w:p>
            <w:pPr>
              <w:pStyle w:val="ListParagraph"/>
              <w:numPr>
                <w:ilvl w:val="0"/>
                <w:numId w:val="2"/>
              </w:numPr>
              <w:spacing w:before="40" w:after="40"/>
            </w:pPr>
            <w:r>
              <w:rPr>
                <w:rFonts w:ascii="Arial" w:cs="Arial" w:eastAsia="Arial" w:hAnsi="Arial"/>
                <w:color w:val="1A1A2E"/>
                <w:sz w:val="20"/>
                <w:szCs w:val="20"/>
              </w:rPr>
              <w:t xml:space="preserve">Only 46% had a website at all</w:t>
            </w:r>
          </w:p>
          <w:p>
            <w:pPr>
              <w:pStyle w:val="ListParagraph"/>
              <w:numPr>
                <w:ilvl w:val="0"/>
                <w:numId w:val="2"/>
              </w:numPr>
              <w:spacing w:before="40" w:after="40"/>
            </w:pPr>
            <w:r>
              <w:rPr>
                <w:rFonts w:ascii="Arial" w:cs="Arial" w:eastAsia="Arial" w:hAnsi="Arial"/>
                <w:color w:val="1A1A2E"/>
                <w:sz w:val="20"/>
                <w:szCs w:val="20"/>
              </w:rPr>
              <w:t xml:space="preserve">Pandemic-driven lockdowns shut physical commerce</w:t>
            </w:r>
          </w:p>
          <w:p>
            <w:pPr>
              <w:pStyle w:val="ListParagraph"/>
              <w:numPr>
                <w:ilvl w:val="0"/>
                <w:numId w:val="2"/>
              </w:numPr>
              <w:spacing w:before="40" w:after="40"/>
            </w:pPr>
            <w:r>
              <w:rPr>
                <w:rFonts w:ascii="Arial" w:cs="Arial" w:eastAsia="Arial" w:hAnsi="Arial"/>
                <w:color w:val="1A1A2E"/>
                <w:sz w:val="20"/>
                <w:szCs w:val="20"/>
              </w:rPr>
              <w:t xml:space="preserve">Large retailers were dominating the digital shift</w:t>
            </w:r>
          </w:p>
          <w:p>
            <w:pPr>
              <w:pStyle w:val="ListParagraph"/>
              <w:numPr>
                <w:ilvl w:val="0"/>
                <w:numId w:val="2"/>
              </w:numPr>
              <w:spacing w:before="40" w:after="40"/>
            </w:pPr>
            <w:r>
              <w:rPr>
                <w:rFonts w:ascii="Arial" w:cs="Arial" w:eastAsia="Arial" w:hAnsi="Arial"/>
                <w:color w:val="1A1A2E"/>
                <w:sz w:val="20"/>
                <w:szCs w:val="20"/>
              </w:rPr>
              <w:t xml:space="preserve">SMEs had no unified channel to reach customers online</w:t>
            </w:r>
          </w:p>
        </w:tc>
        <w:tc>
          <w:tcPr>
            <w:tcW w:type="dxa" w:w="4680"/>
            <w:tcBorders>
              <w:top w:val="single" w:color="DDDDEE" w:sz="1"/>
              <w:left w:val="single" w:color="DDDDEE" w:sz="1"/>
              <w:bottom w:val="single" w:color="DDDDEE" w:sz="1"/>
              <w:right w:val="single" w:color="DDDDEE" w:sz="1"/>
            </w:tcBorders>
            <w:shd w:fill="EEF0FD" w:val="clear"/>
            <w:tcMar>
              <w:top w:type="dxa" w:w="140"/>
              <w:left w:type="dxa" w:w="160"/>
              <w:bottom w:type="dxa" w:w="140"/>
              <w:right w:type="dxa" w:w="160"/>
            </w:tcMar>
          </w:tcPr>
          <w:p>
            <w:pPr>
              <w:spacing w:after="80"/>
            </w:pPr>
            <w:r>
              <w:rPr>
                <w:rFonts w:ascii="Arial" w:cs="Arial" w:eastAsia="Arial" w:hAnsi="Arial"/>
                <w:b/>
                <w:bCs/>
                <w:color w:val="1A2780"/>
                <w:sz w:val="20"/>
                <w:szCs w:val="20"/>
              </w:rPr>
              <w:t xml:space="preserve">The opportunity</w:t>
            </w:r>
          </w:p>
          <w:p>
            <w:pPr>
              <w:pStyle w:val="ListParagraph"/>
              <w:numPr>
                <w:ilvl w:val="0"/>
                <w:numId w:val="2"/>
              </w:numPr>
              <w:spacing w:before="40" w:after="40"/>
            </w:pPr>
            <w:r>
              <w:rPr>
                <w:rFonts w:ascii="Arial" w:cs="Arial" w:eastAsia="Arial" w:hAnsi="Arial"/>
                <w:color w:val="1A1A2E"/>
                <w:sz w:val="20"/>
                <w:szCs w:val="20"/>
              </w:rPr>
              <w:t xml:space="preserve">An AI assistant that could find and recommend local businesses</w:t>
            </w:r>
          </w:p>
          <w:p>
            <w:pPr>
              <w:pStyle w:val="ListParagraph"/>
              <w:numPr>
                <w:ilvl w:val="0"/>
                <w:numId w:val="2"/>
              </w:numPr>
              <w:spacing w:before="40" w:after="40"/>
            </w:pPr>
            <w:r>
              <w:rPr>
                <w:rFonts w:ascii="Arial" w:cs="Arial" w:eastAsia="Arial" w:hAnsi="Arial"/>
                <w:color w:val="1A1A2E"/>
                <w:sz w:val="20"/>
                <w:szCs w:val="20"/>
              </w:rPr>
              <w:t xml:space="preserve">A platform working as both a marketplace and an SME onboarding tool</w:t>
            </w:r>
          </w:p>
          <w:p>
            <w:pPr>
              <w:pStyle w:val="ListParagraph"/>
              <w:numPr>
                <w:ilvl w:val="0"/>
                <w:numId w:val="2"/>
              </w:numPr>
              <w:spacing w:before="40" w:after="40"/>
            </w:pPr>
            <w:r>
              <w:rPr>
                <w:rFonts w:ascii="Arial" w:cs="Arial" w:eastAsia="Arial" w:hAnsi="Arial"/>
                <w:color w:val="1A1A2E"/>
                <w:sz w:val="20"/>
                <w:szCs w:val="20"/>
              </w:rPr>
              <w:t xml:space="preserve">Conversational flows covering product search, location, payment and contact</w:t>
            </w:r>
          </w:p>
          <w:p>
            <w:pPr>
              <w:pStyle w:val="ListParagraph"/>
              <w:numPr>
                <w:ilvl w:val="0"/>
                <w:numId w:val="2"/>
              </w:numPr>
              <w:spacing w:before="40" w:after="40"/>
            </w:pPr>
            <w:r>
              <w:rPr>
                <w:rFonts w:ascii="Arial" w:cs="Arial" w:eastAsia="Arial" w:hAnsi="Arial"/>
                <w:color w:val="1A1A2E"/>
                <w:sz w:val="20"/>
                <w:szCs w:val="20"/>
              </w:rPr>
              <w:t xml:space="preserve">Scalable to support an unlimited number of SMEs nationwide</w:t>
            </w:r>
          </w:p>
        </w:tc>
      </w:tr>
    </w:tbl>
    <w:p>
      <w:pPr>
        <w:spacing w:before="160" w:after="0"/>
      </w:pPr>
      <w:r>
        <w:t xml:space="preserve"/>
      </w:r>
    </w:p>
    <w:p>
      <w:pPr>
        <w:pStyle w:val="Heading2"/>
        <w:pBdr>
          <w:bottom w:val="single" w:color="3B4FE4" w:sz="4" w:space="4"/>
        </w:pBdr>
        <w:spacing w:before="300" w:after="120"/>
      </w:pPr>
      <w:r>
        <w:rPr>
          <w:rFonts w:ascii="Arial" w:cs="Arial" w:eastAsia="Arial" w:hAnsi="Arial"/>
          <w:b/>
          <w:bCs/>
          <w:color w:val="3B4FE4"/>
          <w:sz w:val="26"/>
          <w:szCs w:val="26"/>
        </w:rPr>
        <w:t xml:space="preserve">02 — My role</w:t>
      </w:r>
    </w:p>
    <w:p>
      <w:pPr>
        <w:spacing w:before="80" w:after="80" w:line="320"/>
      </w:pPr>
      <w:r>
        <w:rPr>
          <w:rFonts w:ascii="Arial" w:cs="Arial" w:eastAsia="Arial" w:hAnsi="Arial"/>
          <w:color w:val="1A1A2E"/>
          <w:sz w:val="22"/>
          <w:szCs w:val="22"/>
        </w:rPr>
        <w:t xml:space="preserve">As UX Consultant, I owned two interconnected challenges: designing Gloria's conversational intelligence and defining the experience architecture for the platform that would connect two very different user groups — curious shoppers and small business owners who needed to come onboard digitally.</w:t>
      </w:r>
    </w:p>
    <w:p>
      <w:pPr>
        <w:spacing w:before="80" w:after="0"/>
      </w:pPr>
      <w:r>
        <w:t xml:space="preserve"/>
      </w:r>
    </w:p>
    <w:p>
      <w:pPr>
        <w:spacing w:before="80" w:after="80" w:line="320"/>
      </w:pPr>
      <w:r>
        <w:rPr>
          <w:rFonts w:ascii="Arial" w:cs="Arial" w:eastAsia="Arial" w:hAnsi="Arial"/>
          <w:color w:val="1A1A2E"/>
          <w:sz w:val="22"/>
          <w:szCs w:val="22"/>
        </w:rPr>
        <w:t xml:space="preserve">This project had no clear blueprint. Designing an AI chatbot personality for a government platform at national scale required balancing trust, warmth, inclusivity and functional clarity — all in a context where many of our users had limited experience with digital services.</w:t>
      </w:r>
    </w:p>
    <w:p>
      <w:pPr>
        <w:spacing w:before="160" w:after="0"/>
      </w:pPr>
      <w:r>
        <w:t xml:space="preserve"/>
      </w:r>
    </w:p>
    <w:p>
      <w:pPr>
        <w:pStyle w:val="Heading2"/>
        <w:pBdr>
          <w:bottom w:val="single" w:color="3B4FE4" w:sz="4" w:space="4"/>
        </w:pBdr>
        <w:spacing w:before="300" w:after="120"/>
      </w:pPr>
      <w:r>
        <w:rPr>
          <w:rFonts w:ascii="Arial" w:cs="Arial" w:eastAsia="Arial" w:hAnsi="Arial"/>
          <w:b/>
          <w:bCs/>
          <w:color w:val="3B4FE4"/>
          <w:sz w:val="26"/>
          <w:szCs w:val="26"/>
        </w:rPr>
        <w:t xml:space="preserve">03 — Design approach</w:t>
      </w:r>
    </w:p>
    <w:p>
      <w:pPr>
        <w:spacing w:before="200" w:after="80"/>
      </w:pPr>
      <w:commentRangeStart w:id="1"/>
      <w:r>
        <w:rPr>
          <w:rFonts w:ascii="Arial" w:cs="Arial" w:eastAsia="Arial" w:hAnsi="Arial"/>
          <w:b/>
          <w:bCs/>
          <w:color w:val="1A2780"/>
          <w:sz w:val="22"/>
          <w:szCs w:val="22"/>
        </w:rPr>
        <w:t xml:space="preserve">Defining Gloria's AI personality through co-creation</w:t>
      </w:r>
      <w:commentRangeEnd w:id="1"/>
      <w:r>
        <w:rPr>
          <w:rStyle w:val="CommentReference"/>
        </w:rPr>
        <w:commentReference w:id="1"/>
      </w:r>
    </w:p>
    <w:p>
      <w:pPr>
        <w:spacing w:before="80" w:after="80" w:line="320"/>
      </w:pPr>
      <w:r>
        <w:rPr>
          <w:rFonts w:ascii="Arial" w:cs="Arial" w:eastAsia="Arial" w:hAnsi="Arial"/>
          <w:color w:val="1A1A2E"/>
          <w:sz w:val="22"/>
          <w:szCs w:val="22"/>
        </w:rPr>
        <w:t xml:space="preserve">Rather than defining Gloria's personality unilaterally, I facilitated a co-creation workshop with Ministry stakeholders, SME owners from Barrio Italia, and program managers. The goal was to build a character that could authentically represent thousands of different small businesses without feeling generic or corporate.</w:t>
      </w:r>
    </w:p>
    <w:p>
      <w:pPr>
        <w:spacing w:before="80" w:after="0"/>
      </w:pPr>
      <w:r>
        <w:t xml:space="preserve"/>
      </w:r>
    </w:p>
    <w:p>
      <w:pPr>
        <w:spacing w:before="80" w:after="80" w:line="320"/>
      </w:pPr>
      <w:r>
        <w:rPr>
          <w:rFonts w:ascii="Arial" w:cs="Arial" w:eastAsia="Arial" w:hAnsi="Arial"/>
          <w:color w:val="1A1A2E"/>
          <w:sz w:val="22"/>
          <w:szCs w:val="22"/>
        </w:rPr>
        <w:t xml:space="preserve">The workshop used a structured personality matrix with two dimensions: positive traits (what Gloria should embody) and negative traits (what Gloria must never feel like). Participants diverged individually before converging as a group, which surfaced genuine tensions between what government officials wanted and what SME owners felt was authentic to their community.</w:t>
      </w:r>
    </w:p>
    <w:p>
      <w:pPr>
        <w:spacing w:before="80" w:after="0"/>
      </w:pPr>
      <w:r>
        <w:t xml:space="preserve"/>
      </w:r>
    </w:p>
    <w:p>
      <w:pPr>
        <w:pBdr>
          <w:left w:val="single" w:color="3B4FE4" w:sz="12" w:space="12"/>
        </w:pBdr>
        <w:spacing w:before="160" w:after="160"/>
        <w:ind w:left="560"/>
      </w:pPr>
      <w:r>
        <w:rPr>
          <w:rFonts w:ascii="Arial" w:cs="Arial" w:eastAsia="Arial" w:hAnsi="Arial"/>
          <w:color w:val="6B6B80"/>
          <w:sz w:val="22"/>
          <w:szCs w:val="22"/>
        </w:rPr>
        <w:t xml:space="preserve">The workshop revealed that both user groups — shoppers and business owners — needed Gloria to feel like a knowledgeable neighbor, not a customer service bot.</w:t>
      </w:r>
    </w:p>
    <w:p>
      <w:pPr>
        <w:spacing w:before="80" w:after="0"/>
      </w:pPr>
      <w:r>
        <w:t xml:space="preserve"/>
      </w:r>
    </w:p>
    <w:p>
      <w:pPr>
        <w:spacing w:before="80" w:after="80" w:line="320"/>
      </w:pPr>
      <w:r>
        <w:rPr>
          <w:rFonts w:ascii="Arial" w:cs="Arial" w:eastAsia="Arial" w:hAnsi="Arial"/>
          <w:color w:val="1A1A2E"/>
          <w:sz w:val="22"/>
          <w:szCs w:val="22"/>
        </w:rPr>
        <w:t xml:space="preserve">From this session I defined Gloria's four communication pillars:</w:t>
      </w:r>
    </w:p>
    <w:p>
      <w:pPr>
        <w:spacing w:before="6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Accessible and warm — language that works for all education levels and digital fluencies</w:t>
      </w:r>
    </w:p>
    <w:p>
      <w:pPr>
        <w:pStyle w:val="ListParagraph"/>
        <w:numPr>
          <w:ilvl w:val="0"/>
          <w:numId w:val="2"/>
        </w:numPr>
        <w:spacing w:before="60" w:after="60"/>
      </w:pPr>
      <w:r>
        <w:rPr>
          <w:rFonts w:ascii="Arial" w:cs="Arial" w:eastAsia="Arial" w:hAnsi="Arial"/>
          <w:color w:val="1A1A2E"/>
          <w:sz w:val="22"/>
          <w:szCs w:val="22"/>
        </w:rPr>
        <w:t xml:space="preserve">Locally grounded — always speaking as someone who knows the neighborhood</w:t>
      </w:r>
    </w:p>
    <w:p>
      <w:pPr>
        <w:pStyle w:val="ListParagraph"/>
        <w:numPr>
          <w:ilvl w:val="0"/>
          <w:numId w:val="2"/>
        </w:numPr>
        <w:spacing w:before="60" w:after="60"/>
      </w:pPr>
      <w:r>
        <w:rPr>
          <w:rFonts w:ascii="Arial" w:cs="Arial" w:eastAsia="Arial" w:hAnsi="Arial"/>
          <w:color w:val="1A1A2E"/>
          <w:sz w:val="22"/>
          <w:szCs w:val="22"/>
        </w:rPr>
        <w:t xml:space="preserve">Decisively helpful — never leaving users in a dead end, always offering a next step</w:t>
      </w:r>
    </w:p>
    <w:p>
      <w:pPr>
        <w:pStyle w:val="ListParagraph"/>
        <w:numPr>
          <w:ilvl w:val="0"/>
          <w:numId w:val="2"/>
        </w:numPr>
        <w:spacing w:before="60" w:after="60"/>
      </w:pPr>
      <w:r>
        <w:rPr>
          <w:rFonts w:ascii="Arial" w:cs="Arial" w:eastAsia="Arial" w:hAnsi="Arial"/>
          <w:color w:val="1A1A2E"/>
          <w:sz w:val="22"/>
          <w:szCs w:val="22"/>
        </w:rPr>
        <w:t xml:space="preserve">Transparent about limitations — honest when Gloria doesn't have an answer, without breaking trust</w:t>
      </w:r>
    </w:p>
    <w:p>
      <w:pPr>
        <w:spacing w:before="80" w:after="0"/>
      </w:pPr>
      <w:r>
        <w:t xml:space="preserve"/>
      </w:r>
    </w:p>
    <w:p>
      <w:pPr>
        <w:spacing w:before="200" w:after="80"/>
      </w:pPr>
      <w:commentRangeStart w:id="2"/>
      <w:r>
        <w:rPr>
          <w:rFonts w:ascii="Arial" w:cs="Arial" w:eastAsia="Arial" w:hAnsi="Arial"/>
          <w:b/>
          <w:bCs/>
          <w:color w:val="1A2780"/>
          <w:sz w:val="22"/>
          <w:szCs w:val="22"/>
        </w:rPr>
        <w:t xml:space="preserve">Mapping conversational flows end-to-end</w:t>
      </w:r>
      <w:commentRangeEnd w:id="2"/>
      <w:r>
        <w:rPr>
          <w:rStyle w:val="CommentReference"/>
        </w:rPr>
        <w:commentReference w:id="2"/>
      </w:r>
    </w:p>
    <w:p>
      <w:pPr>
        <w:spacing w:before="80" w:after="80" w:line="320"/>
      </w:pPr>
      <w:r>
        <w:rPr>
          <w:rFonts w:ascii="Arial" w:cs="Arial" w:eastAsia="Arial" w:hAnsi="Arial"/>
          <w:color w:val="1A1A2E"/>
          <w:sz w:val="22"/>
          <w:szCs w:val="22"/>
        </w:rPr>
        <w:t xml:space="preserve">With personality defined, I mapped every possible conversation path Gloria needed to handle. The core challenge in conversational design is anticipating user intent variation — people ask for the same thing in dozens of different ways, and a chatbot that fails to recognize that creates immediate frustration.</w:t>
      </w:r>
    </w:p>
    <w:p>
      <w:pPr>
        <w:spacing w:before="80" w:after="0"/>
      </w:pPr>
      <w:r>
        <w:t xml:space="preserve"/>
      </w:r>
    </w:p>
    <w:p>
      <w:pPr>
        <w:spacing w:before="80" w:after="80" w:line="320"/>
      </w:pPr>
      <w:r>
        <w:rPr>
          <w:rFonts w:ascii="Arial" w:cs="Arial" w:eastAsia="Arial" w:hAnsi="Arial"/>
          <w:color w:val="1A1A2E"/>
          <w:sz w:val="22"/>
          <w:szCs w:val="22"/>
        </w:rPr>
        <w:t xml:space="preserve">I built the flow architecture around three primary intents:</w:t>
      </w:r>
    </w:p>
    <w:p>
      <w:pPr>
        <w:spacing w:before="6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Product or service search ("I'm looking for a bakery near me")</w:t>
      </w:r>
    </w:p>
    <w:p>
      <w:pPr>
        <w:pStyle w:val="ListParagraph"/>
        <w:numPr>
          <w:ilvl w:val="0"/>
          <w:numId w:val="2"/>
        </w:numPr>
        <w:spacing w:before="60" w:after="60"/>
      </w:pPr>
      <w:r>
        <w:rPr>
          <w:rFonts w:ascii="Arial" w:cs="Arial" w:eastAsia="Arial" w:hAnsi="Arial"/>
          <w:color w:val="1A1A2E"/>
          <w:sz w:val="22"/>
          <w:szCs w:val="22"/>
        </w:rPr>
        <w:t xml:space="preserve">Business discovery by location or category</w:t>
      </w:r>
    </w:p>
    <w:p>
      <w:pPr>
        <w:pStyle w:val="ListParagraph"/>
        <w:numPr>
          <w:ilvl w:val="0"/>
          <w:numId w:val="2"/>
        </w:numPr>
        <w:spacing w:before="60" w:after="60"/>
      </w:pPr>
      <w:r>
        <w:rPr>
          <w:rFonts w:ascii="Arial" w:cs="Arial" w:eastAsia="Arial" w:hAnsi="Arial"/>
          <w:color w:val="1A1A2E"/>
          <w:sz w:val="22"/>
          <w:szCs w:val="22"/>
        </w:rPr>
        <w:t xml:space="preserve">Contact and logistics information (delivery, payment methods, hours)</w:t>
      </w:r>
    </w:p>
    <w:p>
      <w:pPr>
        <w:spacing w:before="80" w:after="0"/>
      </w:pPr>
      <w:r>
        <w:t xml:space="preserve"/>
      </w:r>
    </w:p>
    <w:p>
      <w:pPr>
        <w:spacing w:before="80" w:after="80" w:line="320"/>
      </w:pPr>
      <w:r>
        <w:rPr>
          <w:rFonts w:ascii="Arial" w:cs="Arial" w:eastAsia="Arial" w:hAnsi="Arial"/>
          <w:color w:val="1A1A2E"/>
          <w:sz w:val="22"/>
          <w:szCs w:val="22"/>
        </w:rPr>
        <w:t xml:space="preserve">Each flow was designed with explicit fallback paths and graceful failure states. When Gloria lacked data — a common scenario at launch — the response had to maintain trust rather than break it. I iterated these flows in parallel with the SME database ingestion process, so each design decision was grounded in what the actual data could support.</w:t>
      </w:r>
    </w:p>
    <w:p>
      <w:pPr>
        <w:spacing w:before="80" w:after="0"/>
      </w:pPr>
      <w:r>
        <w:t xml:space="preserve"/>
      </w:r>
    </w:p>
    <w:p>
      <w:pPr>
        <w:spacing w:before="200" w:after="80"/>
      </w:pPr>
      <w:commentRangeStart w:id="3"/>
      <w:r>
        <w:rPr>
          <w:rFonts w:ascii="Arial" w:cs="Arial" w:eastAsia="Arial" w:hAnsi="Arial"/>
          <w:b/>
          <w:bCs/>
          <w:color w:val="1A2780"/>
          <w:sz w:val="22"/>
          <w:szCs w:val="22"/>
        </w:rPr>
        <w:t xml:space="preserve">Platform UX: designing for two distinct users</w:t>
      </w:r>
      <w:commentRangeEnd w:id="3"/>
      <w:r>
        <w:rPr>
          <w:rStyle w:val="CommentReference"/>
        </w:rPr>
        <w:commentReference w:id="3"/>
      </w:r>
    </w:p>
    <w:p>
      <w:pPr>
        <w:spacing w:before="80" w:after="80" w:line="320"/>
      </w:pPr>
      <w:r>
        <w:rPr>
          <w:rFonts w:ascii="Arial" w:cs="Arial" w:eastAsia="Arial" w:hAnsi="Arial"/>
          <w:color w:val="1A1A2E"/>
          <w:sz w:val="22"/>
          <w:szCs w:val="22"/>
        </w:rPr>
        <w:t xml:space="preserve">The platform had a dual-sided architecture: consumers discovering local businesses, and SME owners onboarding and managing their presence. I defined the information architecture and key flows for both sides, prioritizing the onboarding experience for business owners — many of whom were going digital for the first time.</w:t>
      </w:r>
    </w:p>
    <w:p>
      <w:pPr>
        <w:spacing w:before="80" w:after="0"/>
      </w:pPr>
      <w:r>
        <w:t xml:space="preserve"/>
      </w:r>
    </w:p>
    <w:p>
      <w:pPr>
        <w:spacing w:before="80" w:after="80" w:line="320"/>
      </w:pPr>
      <w:r>
        <w:rPr>
          <w:rFonts w:ascii="Arial" w:cs="Arial" w:eastAsia="Arial" w:hAnsi="Arial"/>
          <w:color w:val="1A1A2E"/>
          <w:sz w:val="22"/>
          <w:szCs w:val="22"/>
        </w:rPr>
        <w:t xml:space="preserve">The SME registration flow needed to be completable on a mobile phone, in a few minutes, without requiring technical knowledge. The information hierarchy on the public-facing site was designed to answer the most urgent question first: "Is there something near me?" — which drove the geolocation-first design decision.</w:t>
      </w:r>
    </w:p>
    <w:p>
      <w:pPr>
        <w:spacing w:before="160" w:after="0"/>
      </w:pPr>
      <w:r>
        <w:t xml:space="preserve"/>
      </w:r>
    </w:p>
    <w:p>
      <w:pPr>
        <w:pStyle w:val="Heading2"/>
        <w:pBdr>
          <w:bottom w:val="single" w:color="3B4FE4" w:sz="4" w:space="4"/>
        </w:pBdr>
        <w:spacing w:before="300" w:after="120"/>
      </w:pPr>
      <w:commentRangeStart w:id="4"/>
      <w:r>
        <w:rPr>
          <w:rFonts w:ascii="Arial" w:cs="Arial" w:eastAsia="Arial" w:hAnsi="Arial"/>
          <w:b/>
          <w:bCs/>
          <w:color w:val="3B4FE4"/>
          <w:sz w:val="26"/>
          <w:szCs w:val="26"/>
        </w:rPr>
        <w:t xml:space="preserve">04 — The COVID-19 pivot</w:t>
      </w:r>
      <w:commentRangeEnd w:id="4"/>
      <w:r>
        <w:rPr>
          <w:rStyle w:val="CommentReference"/>
        </w:rPr>
        <w:commentReference w:id="4"/>
      </w:r>
    </w:p>
    <w:p>
      <w:pPr>
        <w:spacing w:before="80" w:after="80" w:line="320"/>
      </w:pPr>
      <w:r>
        <w:rPr>
          <w:rFonts w:ascii="Arial" w:cs="Arial" w:eastAsia="Arial" w:hAnsi="Arial"/>
          <w:color w:val="1A1A2E"/>
          <w:sz w:val="22"/>
          <w:szCs w:val="22"/>
        </w:rPr>
        <w:t xml:space="preserve">Mid-project, the pilot scope expanded from one commune in Santiago to the entire country. This was not a minor scope change — it required rethinking every assumption about user context, connectivity, geographic diversity and SME digital literacy.</w:t>
      </w:r>
    </w:p>
    <w:p>
      <w:pPr>
        <w:spacing w:before="80" w:after="0"/>
      </w:pPr>
      <w:r>
        <w:t xml:space="preserve"/>
      </w:r>
    </w:p>
    <w:p>
      <w:pPr>
        <w:spacing w:before="80" w:after="80" w:line="320"/>
      </w:pPr>
      <w:r>
        <w:rPr>
          <w:rFonts w:ascii="Arial" w:cs="Arial" w:eastAsia="Arial" w:hAnsi="Arial"/>
          <w:color w:val="1A1A2E"/>
          <w:sz w:val="22"/>
          <w:szCs w:val="22"/>
        </w:rPr>
        <w:t xml:space="preserve">Key decisions I made in response to the pivot:</w:t>
      </w:r>
    </w:p>
    <w:p>
      <w:pPr>
        <w:spacing w:before="6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Removed geolocation as a hard dependency — users in rural areas needed to browse by commune or region, not just by proximity</w:t>
      </w:r>
    </w:p>
    <w:p>
      <w:pPr>
        <w:pStyle w:val="ListParagraph"/>
        <w:numPr>
          <w:ilvl w:val="0"/>
          <w:numId w:val="2"/>
        </w:numPr>
        <w:spacing w:before="60" w:after="60"/>
      </w:pPr>
      <w:r>
        <w:rPr>
          <w:rFonts w:ascii="Arial" w:cs="Arial" w:eastAsia="Arial" w:hAnsi="Arial"/>
          <w:color w:val="1A1A2E"/>
          <w:sz w:val="22"/>
          <w:szCs w:val="22"/>
        </w:rPr>
        <w:t xml:space="preserve">Simplified the SME registration form to the absolute minimum viable data set required to appear on the platform</w:t>
      </w:r>
    </w:p>
    <w:p>
      <w:pPr>
        <w:pStyle w:val="ListParagraph"/>
        <w:numPr>
          <w:ilvl w:val="0"/>
          <w:numId w:val="2"/>
        </w:numPr>
        <w:spacing w:before="60" w:after="60"/>
      </w:pPr>
      <w:r>
        <w:rPr>
          <w:rFonts w:ascii="Arial" w:cs="Arial" w:eastAsia="Arial" w:hAnsi="Arial"/>
          <w:color w:val="1A1A2E"/>
          <w:sz w:val="22"/>
          <w:szCs w:val="22"/>
        </w:rPr>
        <w:t xml:space="preserve">Added explicit empty-state messaging for communes with no registered SMEs yet, to set correct expectations without discouraging users</w:t>
      </w:r>
    </w:p>
    <w:p>
      <w:pPr>
        <w:pStyle w:val="ListParagraph"/>
        <w:numPr>
          <w:ilvl w:val="0"/>
          <w:numId w:val="2"/>
        </w:numPr>
        <w:spacing w:before="60" w:after="60"/>
      </w:pPr>
      <w:r>
        <w:rPr>
          <w:rFonts w:ascii="Arial" w:cs="Arial" w:eastAsia="Arial" w:hAnsi="Arial"/>
          <w:color w:val="1A1A2E"/>
          <w:sz w:val="22"/>
          <w:szCs w:val="22"/>
        </w:rPr>
        <w:t xml:space="preserve">Scaled conversational flows to handle a broader range of product categories as more diverse businesses joined</w:t>
      </w:r>
    </w:p>
    <w:p>
      <w:pPr>
        <w:spacing w:before="160" w:after="0"/>
      </w:pPr>
      <w:r>
        <w:t xml:space="preserve"/>
      </w:r>
    </w:p>
    <w:p>
      <w:pPr>
        <w:pStyle w:val="Heading2"/>
        <w:pBdr>
          <w:bottom w:val="single" w:color="3B4FE4" w:sz="4" w:space="4"/>
        </w:pBdr>
        <w:spacing w:before="300" w:after="120"/>
      </w:pPr>
      <w:r>
        <w:rPr>
          <w:rFonts w:ascii="Arial" w:cs="Arial" w:eastAsia="Arial" w:hAnsi="Arial"/>
          <w:b/>
          <w:bCs/>
          <w:color w:val="3B4FE4"/>
          <w:sz w:val="26"/>
          <w:szCs w:val="26"/>
        </w:rPr>
        <w:t xml:space="preserve">05 — Impact</w:t>
      </w:r>
    </w:p>
    <w:p>
      <w:pPr>
        <w:spacing w:before="80" w:after="80" w:line="320"/>
      </w:pPr>
      <w:r>
        <w:rPr>
          <w:rFonts w:ascii="Arial" w:cs="Arial" w:eastAsia="Arial" w:hAnsi="Arial"/>
          <w:color w:val="1A1A2E"/>
          <w:sz w:val="22"/>
          <w:szCs w:val="22"/>
        </w:rPr>
        <w:t xml:space="preserve">Pymes de Barrio launched nationally in July 2020, announced personally by the Minister of Economy. The platform became one of the most visible government digital initiatives of the pandemic period in Chile.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B4FE4" w:sz="4"/>
              <w:left w:val="none" w:color="FFFFFF" w:sz="0"/>
              <w:bottom w:val="none" w:color="FFFFFF" w:sz="0"/>
              <w:right w:val="none" w:color="FFFFFF" w:sz="0"/>
            </w:tcBorders>
            <w:shd w:fill="EEF0FD" w:val="clear"/>
            <w:tcMar>
              <w:top w:type="dxa" w:w="160"/>
              <w:left w:type="dxa" w:w="180"/>
              <w:bottom w:type="dxa" w:w="160"/>
              <w:right w:type="dxa" w:w="180"/>
            </w:tcMar>
          </w:tcPr>
          <w:p>
            <w:pPr>
              <w:jc w:val="center"/>
            </w:pPr>
            <w:r>
              <w:rPr>
                <w:rFonts w:ascii="Arial" w:cs="Arial" w:eastAsia="Arial" w:hAnsi="Arial"/>
                <w:b/>
                <w:bCs/>
                <w:color w:val="3B4FE4"/>
                <w:sz w:val="52"/>
                <w:szCs w:val="52"/>
              </w:rPr>
              <w:t xml:space="preserve">+700</w:t>
            </w:r>
          </w:p>
          <w:p>
            <w:pPr>
              <w:spacing w:before="40"/>
              <w:jc w:val="center"/>
            </w:pPr>
            <w:r>
              <w:rPr>
                <w:rFonts w:ascii="Arial" w:cs="Arial" w:eastAsia="Arial" w:hAnsi="Arial"/>
                <w:color w:val="6B6B80"/>
                <w:sz w:val="18"/>
                <w:szCs w:val="18"/>
              </w:rPr>
              <w:t xml:space="preserve">SMEs in the first 2 weeks</w:t>
            </w:r>
          </w:p>
        </w:tc>
        <w:tc>
          <w:tcPr>
            <w:tcW w:type="dxa" w:w="2340"/>
            <w:tcBorders>
              <w:top w:val="single" w:color="3B4FE4" w:sz="4"/>
              <w:left w:val="none" w:color="FFFFFF" w:sz="0"/>
              <w:bottom w:val="none" w:color="FFFFFF" w:sz="0"/>
              <w:right w:val="none" w:color="FFFFFF" w:sz="0"/>
            </w:tcBorders>
            <w:shd w:fill="EEF0FD" w:val="clear"/>
            <w:tcMar>
              <w:top w:type="dxa" w:w="160"/>
              <w:left w:type="dxa" w:w="180"/>
              <w:bottom w:type="dxa" w:w="160"/>
              <w:right w:type="dxa" w:w="180"/>
            </w:tcMar>
          </w:tcPr>
          <w:p>
            <w:pPr>
              <w:jc w:val="center"/>
            </w:pPr>
            <w:r>
              <w:rPr>
                <w:rFonts w:ascii="Arial" w:cs="Arial" w:eastAsia="Arial" w:hAnsi="Arial"/>
                <w:b/>
                <w:bCs/>
                <w:color w:val="3B4FE4"/>
                <w:sz w:val="52"/>
                <w:szCs w:val="52"/>
              </w:rPr>
              <w:t xml:space="preserve">250K</w:t>
            </w:r>
          </w:p>
          <w:p>
            <w:pPr>
              <w:spacing w:before="40"/>
              <w:jc w:val="center"/>
            </w:pPr>
            <w:r>
              <w:rPr>
                <w:rFonts w:ascii="Arial" w:cs="Arial" w:eastAsia="Arial" w:hAnsi="Arial"/>
                <w:color w:val="6B6B80"/>
                <w:sz w:val="18"/>
                <w:szCs w:val="18"/>
              </w:rPr>
              <w:t xml:space="preserve">SME digitization target set by Ministry</w:t>
            </w:r>
          </w:p>
        </w:tc>
        <w:tc>
          <w:tcPr>
            <w:tcW w:type="dxa" w:w="2340"/>
            <w:tcBorders>
              <w:top w:val="single" w:color="3B4FE4" w:sz="4"/>
              <w:left w:val="none" w:color="FFFFFF" w:sz="0"/>
              <w:bottom w:val="none" w:color="FFFFFF" w:sz="0"/>
              <w:right w:val="none" w:color="FFFFFF" w:sz="0"/>
            </w:tcBorders>
            <w:shd w:fill="EEF0FD" w:val="clear"/>
            <w:tcMar>
              <w:top w:type="dxa" w:w="160"/>
              <w:left w:type="dxa" w:w="180"/>
              <w:bottom w:type="dxa" w:w="160"/>
              <w:right w:type="dxa" w:w="180"/>
            </w:tcMar>
          </w:tcPr>
          <w:p>
            <w:pPr>
              <w:jc w:val="center"/>
            </w:pPr>
            <w:r>
              <w:rPr>
                <w:rFonts w:ascii="Arial" w:cs="Arial" w:eastAsia="Arial" w:hAnsi="Arial"/>
                <w:b/>
                <w:bCs/>
                <w:color w:val="3B4FE4"/>
                <w:sz w:val="52"/>
                <w:szCs w:val="52"/>
              </w:rPr>
              <w:t xml:space="preserve">5+</w:t>
            </w:r>
          </w:p>
          <w:p>
            <w:pPr>
              <w:spacing w:before="40"/>
              <w:jc w:val="center"/>
            </w:pPr>
            <w:r>
              <w:rPr>
                <w:rFonts w:ascii="Arial" w:cs="Arial" w:eastAsia="Arial" w:hAnsi="Arial"/>
                <w:color w:val="6B6B80"/>
                <w:sz w:val="18"/>
                <w:szCs w:val="18"/>
              </w:rPr>
              <w:t xml:space="preserve">Major media outlets covered the launch</w:t>
            </w:r>
          </w:p>
        </w:tc>
        <w:tc>
          <w:tcPr>
            <w:tcW w:type="dxa" w:w="2340"/>
            <w:tcBorders>
              <w:top w:val="single" w:color="3B4FE4" w:sz="4"/>
              <w:left w:val="none" w:color="FFFFFF" w:sz="0"/>
              <w:bottom w:val="none" w:color="FFFFFF" w:sz="0"/>
              <w:right w:val="none" w:color="FFFFFF" w:sz="0"/>
            </w:tcBorders>
            <w:shd w:fill="EEF0FD" w:val="clear"/>
            <w:tcMar>
              <w:top w:type="dxa" w:w="160"/>
              <w:left w:type="dxa" w:w="180"/>
              <w:bottom w:type="dxa" w:w="160"/>
              <w:right w:type="dxa" w:w="180"/>
            </w:tcMar>
          </w:tcPr>
          <w:p>
            <w:pPr>
              <w:jc w:val="center"/>
            </w:pPr>
            <w:r>
              <w:rPr>
                <w:rFonts w:ascii="Arial" w:cs="Arial" w:eastAsia="Arial" w:hAnsi="Arial"/>
                <w:b/>
                <w:bCs/>
                <w:color w:val="3B4FE4"/>
                <w:sz w:val="52"/>
                <w:szCs w:val="52"/>
              </w:rPr>
              <w:t xml:space="preserve">All regions</w:t>
            </w:r>
          </w:p>
          <w:p>
            <w:pPr>
              <w:spacing w:before="40"/>
              <w:jc w:val="center"/>
            </w:pPr>
            <w:r>
              <w:rPr>
                <w:rFonts w:ascii="Arial" w:cs="Arial" w:eastAsia="Arial" w:hAnsi="Arial"/>
                <w:color w:val="6B6B80"/>
                <w:sz w:val="18"/>
                <w:szCs w:val="18"/>
              </w:rPr>
              <w:t xml:space="preserve">Geographic coverage at launch</w:t>
            </w:r>
          </w:p>
        </w:tc>
      </w:tr>
    </w:tbl>
    <w:p>
      <w:pPr>
        <w:spacing w:before="160" w:after="0"/>
      </w:pPr>
      <w:r>
        <w:t xml:space="preserve"/>
      </w:r>
    </w:p>
    <w:p>
      <w:pPr>
        <w:spacing w:before="80" w:after="80" w:line="320"/>
      </w:pPr>
      <w:r>
        <w:rPr>
          <w:rFonts w:ascii="Arial" w:cs="Arial" w:eastAsia="Arial" w:hAnsi="Arial"/>
          <w:color w:val="1A1A2E"/>
          <w:sz w:val="22"/>
          <w:szCs w:val="22"/>
        </w:rPr>
        <w:t xml:space="preserve">The platform was covered by national television (Teletrece), radio and multiple print media outlets, which organically drove user adoption. Gloria was described in press coverage as the central feature that made the platform approachable — a direct reflection of the conversational design decisions made during the personality workshop.</w:t>
      </w:r>
    </w:p>
    <w:p>
      <w:pPr>
        <w:spacing w:before="80" w:after="0"/>
      </w:pPr>
      <w:r>
        <w:t xml:space="preserve"/>
      </w:r>
    </w:p>
    <w:p>
      <w:pPr>
        <w:pBdr>
          <w:left w:val="single" w:color="3B4FE4" w:sz="12" w:space="12"/>
        </w:pBdr>
        <w:spacing w:before="160" w:after="160"/>
        <w:ind w:left="560"/>
      </w:pPr>
      <w:r>
        <w:rPr>
          <w:rFonts w:ascii="Arial" w:cs="Arial" w:eastAsia="Arial" w:hAnsi="Arial"/>
          <w:color w:val="6B6B80"/>
          <w:sz w:val="22"/>
          <w:szCs w:val="22"/>
        </w:rPr>
        <w:t xml:space="preserve">"The website is easy to use and has a map where you can identify all the SMEs in a given sector, but it also offers the help of a virtual assistant, a robot available every day and at all hours." — Chilean national press</w:t>
      </w:r>
    </w:p>
    <w:p>
      <w:pPr>
        <w:spacing w:before="80" w:after="0"/>
      </w:pPr>
      <w:r>
        <w:t xml:space="preserve"/>
      </w:r>
    </w:p>
    <w:p>
      <w:pPr>
        <w:spacing w:before="80" w:after="80" w:line="320"/>
      </w:pPr>
      <w:commentRangeStart w:id="5"/>
      <w:r>
        <w:rPr>
          <w:rFonts w:ascii="Arial" w:cs="Arial" w:eastAsia="Arial" w:hAnsi="Arial"/>
          <w:color w:val="1A1A2E"/>
          <w:sz w:val="22"/>
          <w:szCs w:val="22"/>
        </w:rPr>
        <w:t xml:space="preserve">The Ministry also secured preferential logistics partnerships with Rappi, Pedidos Ya, ChileExpress, Beat and Correos de Chile — which meant that the SME onboarding flow I designed needed to communicate these partnership benefits clearly without adding cognitive load to an already complex registration process.</w:t>
      </w:r>
      <w:commentRangeEnd w:id="5"/>
      <w:r>
        <w:rPr>
          <w:rStyle w:val="CommentReference"/>
        </w:rPr>
        <w:commentReference w:id="5"/>
      </w:r>
    </w:p>
    <w:p>
      <w:pPr>
        <w:spacing w:before="160" w:after="0"/>
      </w:pPr>
      <w:r>
        <w:t xml:space="preserve"/>
      </w:r>
    </w:p>
    <w:p>
      <w:pPr>
        <w:pStyle w:val="Heading2"/>
        <w:pBdr>
          <w:bottom w:val="single" w:color="3B4FE4" w:sz="4" w:space="4"/>
        </w:pBdr>
        <w:spacing w:before="300" w:after="120"/>
      </w:pPr>
      <w:r>
        <w:rPr>
          <w:rFonts w:ascii="Arial" w:cs="Arial" w:eastAsia="Arial" w:hAnsi="Arial"/>
          <w:b/>
          <w:bCs/>
          <w:color w:val="3B4FE4"/>
          <w:sz w:val="26"/>
          <w:szCs w:val="26"/>
        </w:rPr>
        <w:t xml:space="preserve">06 — What this project taught me about AI UX</w:t>
      </w:r>
    </w:p>
    <w:p>
      <w:pPr>
        <w:spacing w:before="200" w:after="80"/>
      </w:pPr>
      <w:r>
        <w:rPr>
          <w:rFonts w:ascii="Arial" w:cs="Arial" w:eastAsia="Arial" w:hAnsi="Arial"/>
          <w:b/>
          <w:bCs/>
          <w:color w:val="1A2780"/>
          <w:sz w:val="22"/>
          <w:szCs w:val="22"/>
        </w:rPr>
        <w:t xml:space="preserve">Personality is not a design deliverable — it's a research output</w:t>
      </w:r>
    </w:p>
    <w:p>
      <w:pPr>
        <w:spacing w:before="80" w:after="80" w:line="320"/>
      </w:pPr>
      <w:r>
        <w:rPr>
          <w:rFonts w:ascii="Arial" w:cs="Arial" w:eastAsia="Arial" w:hAnsi="Arial"/>
          <w:color w:val="1A1A2E"/>
          <w:sz w:val="22"/>
          <w:szCs w:val="22"/>
        </w:rPr>
        <w:t xml:space="preserve">The biggest mistake in conversational AI design is treating personality as a creative brief. Gloria's character was grounded in what real stakeholders — including the SME owners who would be represented by her — actually valued. That co-creation step is what made her feel authentic rather than corporate.</w:t>
      </w:r>
    </w:p>
    <w:p>
      <w:pPr>
        <w:spacing w:before="80" w:after="0"/>
      </w:pPr>
      <w:r>
        <w:t xml:space="preserve"/>
      </w:r>
    </w:p>
    <w:p>
      <w:pPr>
        <w:spacing w:before="200" w:after="80"/>
      </w:pPr>
      <w:r>
        <w:rPr>
          <w:rFonts w:ascii="Arial" w:cs="Arial" w:eastAsia="Arial" w:hAnsi="Arial"/>
          <w:b/>
          <w:bCs/>
          <w:color w:val="1A2780"/>
          <w:sz w:val="22"/>
          <w:szCs w:val="22"/>
        </w:rPr>
        <w:t xml:space="preserve">Designing for failure is more important than designing for success</w:t>
      </w:r>
    </w:p>
    <w:p>
      <w:pPr>
        <w:spacing w:before="80" w:after="80" w:line="320"/>
      </w:pPr>
      <w:r>
        <w:rPr>
          <w:rFonts w:ascii="Arial" w:cs="Arial" w:eastAsia="Arial" w:hAnsi="Arial"/>
          <w:color w:val="1A1A2E"/>
          <w:sz w:val="22"/>
          <w:szCs w:val="22"/>
        </w:rPr>
        <w:t xml:space="preserve">In a conversational interface, the moments when the AI doesn't understand or doesn't have an answer are the moments that define the entire experience. I spent as much time on Gloria's fallback flows and empty states as on her primary responses — and that discipline directly translated into user trust.</w:t>
      </w:r>
    </w:p>
    <w:p>
      <w:pPr>
        <w:spacing w:before="80" w:after="0"/>
      </w:pPr>
      <w:r>
        <w:t xml:space="preserve"/>
      </w:r>
    </w:p>
    <w:p>
      <w:pPr>
        <w:spacing w:before="200" w:after="80"/>
      </w:pPr>
      <w:r>
        <w:rPr>
          <w:rFonts w:ascii="Arial" w:cs="Arial" w:eastAsia="Arial" w:hAnsi="Arial"/>
          <w:b/>
          <w:bCs/>
          <w:color w:val="1A2780"/>
          <w:sz w:val="22"/>
          <w:szCs w:val="22"/>
        </w:rPr>
        <w:t xml:space="preserve">AI products have two user groups: the humans talking to it, and the humans powering it</w:t>
      </w:r>
    </w:p>
    <w:p>
      <w:pPr>
        <w:spacing w:before="80" w:after="80" w:line="320"/>
      </w:pPr>
      <w:r>
        <w:rPr>
          <w:rFonts w:ascii="Arial" w:cs="Arial" w:eastAsia="Arial" w:hAnsi="Arial"/>
          <w:color w:val="1A1A2E"/>
          <w:sz w:val="22"/>
          <w:szCs w:val="22"/>
        </w:rPr>
        <w:t xml:space="preserve">SME owners were not just end users of the platform — they were the data source that made Gloria useful. Designing the SME onboarding experience with the same care as the consumer experience was what allowed the supply side to scale quickly. An AI assistant is only as good as the data architecture behind it.</w:t>
      </w:r>
    </w:p>
    <w:p>
      <w:pPr>
        <w:spacing w:before="80" w:after="0"/>
      </w:pPr>
      <w:r>
        <w:t xml:space="preserve"/>
      </w:r>
    </w:p>
    <w:p>
      <w:pPr>
        <w:pBdr>
          <w:bottom w:val="single" w:color="DDDDEE" w:sz="2" w:space="1"/>
        </w:pBdr>
        <w:spacing w:before="200" w:after="200"/>
      </w:pPr>
      <w:r>
        <w:t xml:space="preserve"/>
      </w:r>
    </w:p>
    <w:p>
      <w:pPr>
        <w:spacing w:before="120" w:after="60"/>
      </w:pPr>
      <w:r>
        <w:rPr>
          <w:rFonts w:ascii="Arial" w:cs="Arial" w:eastAsia="Arial" w:hAnsi="Arial"/>
          <w:color w:val="6B6B80"/>
          <w:sz w:val="18"/>
          <w:szCs w:val="18"/>
        </w:rPr>
        <w:t xml:space="preserve">Pamela Zárate Martel  ·  Senior Product Designer  ·  AI &amp; Conversational UX</w:t>
      </w:r>
    </w:p>
    <w:p>
      <w:pPr>
        <w:spacing w:before="0" w:after="0"/>
      </w:pPr>
      <w:r>
        <w:rPr>
          <w:rFonts w:ascii="Arial" w:cs="Arial" w:eastAsia="Arial" w:hAnsi="Arial"/>
          <w:color w:val="3B4FE4"/>
          <w:sz w:val="18"/>
          <w:szCs w:val="18"/>
        </w:rPr>
        <w:t xml:space="preserve">p.zaratemartel@gmail.com  ·  zaratemartel.super.site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3-17T15:58:19Z" w:initials="C">
    <w:p w14:paraId="7DB18E7F" w14:textId="77777777">
      <w:r>
        <w:rPr>
          <w:rStyle w:val="CommentReference"/>
        </w:rPr>
        <w:annotationRef/>
      </w:r>
      <w:r>
        <w:rPr>
          <w:color w:val="000000"/>
          <w:sz w:val="20"/>
          <w:szCs w:val="20"/>
        </w:rPr>
        <w:t>IMAGE SUGGESTION: Screenshot or mockup of the Pymes de Barrio platform homepage — showing the map with SME pins, the search bar and Gloria’s entry point. Sets the product context immediately. You have screenshots from the original case (Captura_de_pantalla_2024-08-21).</w:t>
      </w:r>
    </w:p>
  </w:comment>
  <w:comment w:id="1" w:author="Claude" w:date="2026-03-17T15:58:20Z" w:initials="C">
    <w:p w14:paraId="35609EF6" w14:textId="77777777">
      <w:r>
        <w:rPr>
          <w:rStyle w:val="CommentReference"/>
        </w:rPr>
        <w:annotationRef/>
      </w:r>
      <w:r>
        <w:rPr>
          <w:color w:val="000000"/>
          <w:sz w:val="20"/>
          <w:szCs w:val="20"/>
        </w:rPr>
        <w:t>IMAGE SUGGESTION: The personality matrix workshop artefact — the grid showing positive and negative traits selected by participants, with sticky notes or cards clustered by dimension. You have this from the original case (Matriz_de_personalidad.png). Essential for proving the co-creation methodology.</w:t>
      </w:r>
    </w:p>
  </w:comment>
  <w:comment w:id="2" w:author="Claude" w:date="2026-03-17T15:58:20Z" w:initials="C">
    <w:p w14:paraId="24787B15" w14:textId="77777777">
      <w:r>
        <w:rPr>
          <w:rStyle w:val="CommentReference"/>
        </w:rPr>
        <w:annotationRef/>
      </w:r>
      <w:r>
        <w:rPr>
          <w:color w:val="000000"/>
          <w:sz w:val="20"/>
          <w:szCs w:val="20"/>
        </w:rPr>
        <w:t>IMAGE SUGGESTION: Gloria’s conversational flow diagram — the main intent tree showing the three primary flows (product search, business discovery, contact/logistics) with decision branches and fallback paths. You have a version of this from the original case (Slice_1.jpg). The most important artefact to show for an AI UX case study.</w:t>
      </w:r>
    </w:p>
  </w:comment>
  <w:comment w:id="3" w:author="Claude" w:date="2026-03-17T15:58:20Z" w:initials="C">
    <w:p w14:paraId="1EED5B0C" w14:textId="77777777">
      <w:r>
        <w:rPr>
          <w:rStyle w:val="CommentReference"/>
        </w:rPr>
        <w:annotationRef/>
      </w:r>
      <w:r>
        <w:rPr>
          <w:color w:val="000000"/>
          <w:sz w:val="20"/>
          <w:szCs w:val="20"/>
        </w:rPr>
        <w:t>IMAGE SUGGESTION: SME onboarding flow — the registration form screens on mobile, showing the minimal data required, the category selection and the confirmation state. Show 3-4 key screens as a horizontal flow strip. Demonstrates the B2B side of the platform design.</w:t>
      </w:r>
    </w:p>
  </w:comment>
  <w:comment w:id="4" w:author="Claude" w:date="2026-03-17T15:58:20Z" w:initials="C">
    <w:p w14:paraId="55295983" w14:textId="77777777">
      <w:r>
        <w:rPr>
          <w:rStyle w:val="CommentReference"/>
        </w:rPr>
        <w:annotationRef/>
      </w:r>
      <w:r>
        <w:rPr>
          <w:color w:val="000000"/>
          <w:sz w:val="20"/>
          <w:szCs w:val="20"/>
        </w:rPr>
        <w:t>IMAGE SUGGESTION: Newspaper or TV screenshot showing media coverage of Pymes de Barrio — you have a press clip from the original case. Include the Teletrece video thumbnail if possible (with a URL or QR code pointing to the YouTube clip). Validates the real-world scale of the impact without needing usage metrics.</w:t>
      </w:r>
    </w:p>
  </w:comment>
  <w:comment w:id="5" w:author="Claude" w:date="2026-03-17T15:58:21Z" w:initials="C">
    <w:p w14:paraId="7E8372FA" w14:textId="77777777">
      <w:r>
        <w:rPr>
          <w:rStyle w:val="CommentReference"/>
        </w:rPr>
        <w:annotationRef/>
      </w:r>
      <w:r>
        <w:rPr>
          <w:color w:val="000000"/>
          <w:sz w:val="20"/>
          <w:szCs w:val="20"/>
        </w:rPr>
        <w:t>IMAGE SUGGESTION: Partner logos strip — Rappi, Pedidos Ya, ChileExpress, Beat, Correos de Chile. Shows the ecosystem complexity that the design had to accommodate and signals the seniority of the project (government + multiple private partners).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B18E7F" w15:done="0"/>
  <w15:commentEx w15:paraId="35609EF6" w15:done="0"/>
  <w15:commentEx w15:paraId="24787B15" w15:done="0"/>
  <w15:commentEx w15:paraId="1EED5B0C" w15:done="0"/>
  <w15:commentEx w15:paraId="55295983" w15:done="0"/>
  <w15:commentEx w15:paraId="7E8372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7C2076C" w16cex:dateUtc="2026-03-17T15:58:19Z"/>
  <w16cex:commentExtensible w16cex:durableId="2B8CC32B" w16cex:dateUtc="2026-03-17T15:58:20Z"/>
  <w16cex:commentExtensible w16cex:durableId="433F6CCF" w16cex:dateUtc="2026-03-17T15:58:20Z"/>
  <w16cex:commentExtensible w16cex:durableId="33AE14B6" w16cex:dateUtc="2026-03-17T15:58:20Z"/>
  <w16cex:commentExtensible w16cex:durableId="3EE0F1CB" w16cex:dateUtc="2026-03-17T15:58:20Z"/>
  <w16cex:commentExtensible w16cex:durableId="3C4E016D" w16cex:dateUtc="2026-03-17T15:58:2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B18E7F" w16cid:durableId="77C2076C"/>
  <w16cid:commentId w16cid:paraId="35609EF6" w16cid:durableId="2B8CC32B"/>
  <w16cid:commentId w16cid:paraId="24787B15" w16cid:durableId="433F6CCF"/>
  <w16cid:commentId w16cid:paraId="1EED5B0C" w16cid:durableId="33AE14B6"/>
  <w16cid:commentId w16cid:paraId="55295983" w16cid:durableId="3EE0F1CB"/>
  <w16cid:commentId w16cid:paraId="7E8372FA" w16cid:durableId="3C4E01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microsoft.com/office/2011/relationships/commentsExtended" Target="commentsExtended.xml"/><Relationship Id="rId8" Type="http://schemas.microsoft.com/office/2018/relationships/commentsExtensible" Target="commentsExtensible.xml"/><Relationship Id="rId9" Type="http://schemas.microsoft.com/office/2016/09/relationships/commentsIds" Target="commentsId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2026-03-17T12:40:55.228Z</dcterms:created>
  <dcterms:modified xsi:type="dcterms:W3CDTF">2026-03-17T12:40:55.229Z</dcterms:modified>
</cp:coreProperties>
</file>

<file path=docProps/custom.xml><?xml version="1.0" encoding="utf-8"?>
<Properties xmlns="http://schemas.openxmlformats.org/officeDocument/2006/custom-properties" xmlns:vt="http://schemas.openxmlformats.org/officeDocument/2006/docPropsVTypes"/>
</file>