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pPr>
      <w:r>
        <w:rPr>
          <w:rFonts w:ascii="Arial" w:cs="Arial" w:eastAsia="Arial" w:hAnsi="Arial"/>
          <w:b/>
          <w:bCs/>
          <w:color w:val="7F77DD"/>
          <w:sz w:val="18"/>
          <w:szCs w:val="18"/>
        </w:rPr>
        <w:t xml:space="preserve">CASE STUDY</w:t>
      </w:r>
    </w:p>
    <w:p>
      <w:pPr>
        <w:spacing w:before="0" w:after="120"/>
      </w:pPr>
      <w:r>
        <w:rPr>
          <w:rFonts w:ascii="Arial" w:cs="Arial" w:eastAsia="Arial" w:hAnsi="Arial"/>
          <w:b/>
          <w:bCs/>
          <w:color w:val="1A1A1A"/>
          <w:sz w:val="40"/>
          <w:szCs w:val="40"/>
        </w:rPr>
        <w:t xml:space="preserve">Diagnosing self-service failure: a mixed-methods research-to-redesign approach for financial kiosks</w:t>
      </w:r>
    </w:p>
    <w:p>
      <w:pPr>
        <w:spacing w:before="0" w:after="200"/>
      </w:pPr>
      <w:r>
        <w:rPr>
          <w:rFonts w:ascii="Arial" w:cs="Arial" w:eastAsia="Arial" w:hAnsi="Arial"/>
          <w:color w:val="6B6B6B"/>
          <w:sz w:val="22"/>
          <w:szCs w:val="22"/>
        </w:rPr>
        <w:t xml:space="preserve">How combining expert analysis, 222-comment verbatim research and in-context guerrilla testing uncovered the root cause of low NPS — and produced an actionable redesign roadmap for a Mastercard banking operator’s self-service kiosk network in Chilean retail.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tcPr>
          <w:p>
            <w:pPr>
              <w:jc w:val="center"/>
            </w:pPr>
            <w:r>
              <w:rPr>
                <w:rFonts w:ascii="Arial" w:cs="Arial" w:eastAsia="Arial" w:hAnsi="Arial"/>
                <w:b/>
                <w:bCs/>
                <w:color w:val="5A4AB7"/>
                <w:sz w:val="18"/>
                <w:szCs w:val="18"/>
              </w:rPr>
              <w:t xml:space="preserve">Mixed-Methods UX Research</w:t>
            </w:r>
          </w:p>
        </w:tc>
        <w:tc>
          <w:tcPr>
            <w:tcW w:type="dxa" w:w="1872"/>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tcPr>
          <w:p>
            <w:pPr>
              <w:jc w:val="center"/>
            </w:pPr>
            <w:r>
              <w:rPr>
                <w:rFonts w:ascii="Arial" w:cs="Arial" w:eastAsia="Arial" w:hAnsi="Arial"/>
                <w:b/>
                <w:bCs/>
                <w:color w:val="5A4AB7"/>
                <w:sz w:val="18"/>
                <w:szCs w:val="18"/>
              </w:rPr>
              <w:t xml:space="preserve">Usability Testing</w:t>
            </w:r>
          </w:p>
        </w:tc>
        <w:tc>
          <w:tcPr>
            <w:tcW w:type="dxa" w:w="1872"/>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tcPr>
          <w:p>
            <w:pPr>
              <w:jc w:val="center"/>
            </w:pPr>
            <w:r>
              <w:rPr>
                <w:rFonts w:ascii="Arial" w:cs="Arial" w:eastAsia="Arial" w:hAnsi="Arial"/>
                <w:b/>
                <w:bCs/>
                <w:color w:val="5A4AB7"/>
                <w:sz w:val="18"/>
                <w:szCs w:val="18"/>
              </w:rPr>
              <w:t xml:space="preserve">Interaction Design</w:t>
            </w:r>
          </w:p>
        </w:tc>
        <w:tc>
          <w:tcPr>
            <w:tcW w:type="dxa" w:w="1872"/>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tcPr>
          <w:p>
            <w:pPr>
              <w:jc w:val="center"/>
            </w:pPr>
            <w:r>
              <w:rPr>
                <w:rFonts w:ascii="Arial" w:cs="Arial" w:eastAsia="Arial" w:hAnsi="Arial"/>
                <w:b/>
                <w:bCs/>
                <w:color w:val="5A4AB7"/>
                <w:sz w:val="18"/>
                <w:szCs w:val="18"/>
              </w:rPr>
              <w:t xml:space="preserve">Information Architecture</w:t>
            </w:r>
          </w:p>
        </w:tc>
        <w:tc>
          <w:tcPr>
            <w:tcW w:type="dxa" w:w="1872"/>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tcPr>
          <w:p>
            <w:pPr>
              <w:jc w:val="center"/>
            </w:pPr>
            <w:r>
              <w:rPr>
                <w:rFonts w:ascii="Arial" w:cs="Arial" w:eastAsia="Arial" w:hAnsi="Arial"/>
                <w:b/>
                <w:bCs/>
                <w:color w:val="5A4AB7"/>
                <w:sz w:val="18"/>
                <w:szCs w:val="18"/>
              </w:rPr>
              <w:t xml:space="preserve">Accessibility Audit</w:t>
            </w:r>
          </w:p>
        </w:tc>
      </w:tr>
    </w:tbl>
    <w:p>
      <w:pPr>
        <w:spacing w:before="80" w:after="0"/>
      </w:pPr>
      <w:r>
        <w:t xml:space="preserve"/>
      </w:r>
    </w:p>
    <w:p>
      <w:pPr>
        <w:spacing w:before="0" w:after="60"/>
      </w:pPr>
      <w:r>
        <w:rPr>
          <w:rFonts w:ascii="Arial" w:cs="Arial" w:eastAsia="Arial" w:hAnsi="Arial"/>
          <w:b/>
          <w:bCs/>
          <w:color w:val="3C3489"/>
          <w:sz w:val="20"/>
          <w:szCs w:val="20"/>
        </w:rPr>
        <w:t xml:space="preserve">Client: </w:t>
      </w:r>
      <w:r>
        <w:rPr>
          <w:rFonts w:ascii="Arial" w:cs="Arial" w:eastAsia="Arial" w:hAnsi="Arial"/>
          <w:color w:val="1A1A1A"/>
          <w:sz w:val="20"/>
          <w:szCs w:val="20"/>
        </w:rPr>
        <w:t xml:space="preserve">Mastercard banking operator in Chilean retail (NDA — brand identity confidential)</w:t>
      </w:r>
    </w:p>
    <w:p>
      <w:pPr>
        <w:spacing w:before="0" w:after="60"/>
      </w:pPr>
      <w:r>
        <w:rPr>
          <w:rFonts w:ascii="Arial" w:cs="Arial" w:eastAsia="Arial" w:hAnsi="Arial"/>
          <w:b/>
          <w:bCs/>
          <w:color w:val="3C3489"/>
          <w:sz w:val="20"/>
          <w:szCs w:val="20"/>
        </w:rPr>
        <w:t xml:space="preserve">Year: </w:t>
      </w:r>
      <w:r>
        <w:rPr>
          <w:rFonts w:ascii="Arial" w:cs="Arial" w:eastAsia="Arial" w:hAnsi="Arial"/>
          <w:color w:val="1A1A1A"/>
          <w:sz w:val="20"/>
          <w:szCs w:val="20"/>
        </w:rPr>
        <w:t xml:space="preserve">2020–2021  |  </w:t>
      </w:r>
      <w:r>
        <w:rPr>
          <w:rFonts w:ascii="Arial" w:cs="Arial" w:eastAsia="Arial" w:hAnsi="Arial"/>
          <w:b/>
          <w:bCs/>
          <w:color w:val="3C3489"/>
          <w:sz w:val="20"/>
          <w:szCs w:val="20"/>
        </w:rPr>
        <w:t xml:space="preserve">Role: </w:t>
      </w:r>
      <w:r>
        <w:rPr>
          <w:rFonts w:ascii="Arial" w:cs="Arial" w:eastAsia="Arial" w:hAnsi="Arial"/>
          <w:color w:val="1A1A1A"/>
          <w:sz w:val="20"/>
          <w:szCs w:val="20"/>
        </w:rPr>
        <w:t xml:space="preserve">UX Consultant  |  </w:t>
      </w:r>
      <w:r>
        <w:rPr>
          <w:rFonts w:ascii="Arial" w:cs="Arial" w:eastAsia="Arial" w:hAnsi="Arial"/>
          <w:b/>
          <w:bCs/>
          <w:color w:val="3C3489"/>
          <w:sz w:val="20"/>
          <w:szCs w:val="20"/>
        </w:rPr>
        <w:t xml:space="preserve">Tools: </w:t>
      </w:r>
      <w:r>
        <w:rPr>
          <w:rFonts w:ascii="Arial" w:cs="Arial" w:eastAsia="Arial" w:hAnsi="Arial"/>
          <w:color w:val="1A1A1A"/>
          <w:sz w:val="20"/>
          <w:szCs w:val="20"/>
        </w:rPr>
        <w:t xml:space="preserve">Figma, heuristic evaluation framework, in-context testing protocol</w:t>
      </w:r>
    </w:p>
    <w:p>
      <w:pPr>
        <w:pBdr>
          <w:bottom w:val="single" w:color="DDDDDD" w:sz="2"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A4AB7" w:sz="4"/>
              <w:left w:val="none" w:color="FFFFFF" w:sz="0"/>
              <w:bottom w:val="none" w:color="FFFFFF" w:sz="0"/>
              <w:right w:val="none" w:color="FFFFFF" w:sz="0"/>
            </w:tcBorders>
            <w:shd w:fill="EEEDFE" w:val="clear"/>
            <w:tcMar>
              <w:top w:type="dxa" w:w="160"/>
              <w:left w:type="dxa" w:w="180"/>
              <w:bottom w:type="dxa" w:w="160"/>
              <w:right w:type="dxa" w:w="180"/>
            </w:tcMar>
          </w:tcPr>
          <w:p>
            <w:pPr>
              <w:jc w:val="center"/>
            </w:pPr>
            <w:r>
              <w:rPr>
                <w:rFonts w:ascii="Arial" w:cs="Arial" w:eastAsia="Arial" w:hAnsi="Arial"/>
                <w:b/>
                <w:bCs/>
                <w:color w:val="5A4AB7"/>
                <w:sz w:val="52"/>
                <w:szCs w:val="52"/>
              </w:rPr>
              <w:t xml:space="preserve">222</w:t>
            </w:r>
          </w:p>
          <w:p>
            <w:pPr>
              <w:spacing w:before="40"/>
              <w:jc w:val="center"/>
            </w:pPr>
            <w:r>
              <w:rPr>
                <w:rFonts w:ascii="Arial" w:cs="Arial" w:eastAsia="Arial" w:hAnsi="Arial"/>
                <w:color w:val="6B6B6B"/>
                <w:sz w:val="18"/>
                <w:szCs w:val="18"/>
              </w:rPr>
              <w:t xml:space="preserve">Verbatim comments analyzed</w:t>
            </w:r>
          </w:p>
        </w:tc>
        <w:tc>
          <w:tcPr>
            <w:tcW w:type="dxa" w:w="2340"/>
            <w:tcBorders>
              <w:top w:val="single" w:color="5A4AB7" w:sz="4"/>
              <w:left w:val="none" w:color="FFFFFF" w:sz="0"/>
              <w:bottom w:val="none" w:color="FFFFFF" w:sz="0"/>
              <w:right w:val="none" w:color="FFFFFF" w:sz="0"/>
            </w:tcBorders>
            <w:shd w:fill="EEEDFE" w:val="clear"/>
            <w:tcMar>
              <w:top w:type="dxa" w:w="160"/>
              <w:left w:type="dxa" w:w="180"/>
              <w:bottom w:type="dxa" w:w="160"/>
              <w:right w:type="dxa" w:w="180"/>
            </w:tcMar>
          </w:tcPr>
          <w:p>
            <w:pPr>
              <w:jc w:val="center"/>
            </w:pPr>
            <w:r>
              <w:rPr>
                <w:rFonts w:ascii="Arial" w:cs="Arial" w:eastAsia="Arial" w:hAnsi="Arial"/>
                <w:b/>
                <w:bCs/>
                <w:color w:val="5A4AB7"/>
                <w:sz w:val="52"/>
                <w:szCs w:val="52"/>
              </w:rPr>
              <w:t xml:space="preserve">3</w:t>
            </w:r>
          </w:p>
          <w:p>
            <w:pPr>
              <w:spacing w:before="40"/>
              <w:jc w:val="center"/>
            </w:pPr>
            <w:r>
              <w:rPr>
                <w:rFonts w:ascii="Arial" w:cs="Arial" w:eastAsia="Arial" w:hAnsi="Arial"/>
                <w:color w:val="6B6B6B"/>
                <w:sz w:val="18"/>
                <w:szCs w:val="18"/>
              </w:rPr>
              <w:t xml:space="preserve">Research methods combined</w:t>
            </w:r>
          </w:p>
        </w:tc>
        <w:tc>
          <w:tcPr>
            <w:tcW w:type="dxa" w:w="2340"/>
            <w:tcBorders>
              <w:top w:val="single" w:color="5A4AB7" w:sz="4"/>
              <w:left w:val="none" w:color="FFFFFF" w:sz="0"/>
              <w:bottom w:val="none" w:color="FFFFFF" w:sz="0"/>
              <w:right w:val="none" w:color="FFFFFF" w:sz="0"/>
            </w:tcBorders>
            <w:shd w:fill="EEEDFE" w:val="clear"/>
            <w:tcMar>
              <w:top w:type="dxa" w:w="160"/>
              <w:left w:type="dxa" w:w="180"/>
              <w:bottom w:type="dxa" w:w="160"/>
              <w:right w:type="dxa" w:w="180"/>
            </w:tcMar>
          </w:tcPr>
          <w:p>
            <w:pPr>
              <w:jc w:val="center"/>
            </w:pPr>
            <w:r>
              <w:rPr>
                <w:rFonts w:ascii="Arial" w:cs="Arial" w:eastAsia="Arial" w:hAnsi="Arial"/>
                <w:b/>
                <w:bCs/>
                <w:color w:val="5A4AB7"/>
                <w:sz w:val="52"/>
                <w:szCs w:val="52"/>
              </w:rPr>
              <w:t xml:space="preserve">25%</w:t>
            </w:r>
          </w:p>
          <w:p>
            <w:pPr>
              <w:spacing w:before="40"/>
              <w:jc w:val="center"/>
            </w:pPr>
            <w:r>
              <w:rPr>
                <w:rFonts w:ascii="Arial" w:cs="Arial" w:eastAsia="Arial" w:hAnsi="Arial"/>
                <w:color w:val="6B6B6B"/>
                <w:sz w:val="18"/>
                <w:szCs w:val="18"/>
              </w:rPr>
              <w:t xml:space="preserve">Accessibility compliance (baseline)</w:t>
            </w:r>
          </w:p>
        </w:tc>
        <w:tc>
          <w:tcPr>
            <w:tcW w:type="dxa" w:w="2340"/>
            <w:tcBorders>
              <w:top w:val="single" w:color="5A4AB7" w:sz="4"/>
              <w:left w:val="none" w:color="FFFFFF" w:sz="0"/>
              <w:bottom w:val="none" w:color="FFFFFF" w:sz="0"/>
              <w:right w:val="none" w:color="FFFFFF" w:sz="0"/>
            </w:tcBorders>
            <w:shd w:fill="EEEDFE" w:val="clear"/>
            <w:tcMar>
              <w:top w:type="dxa" w:w="160"/>
              <w:left w:type="dxa" w:w="180"/>
              <w:bottom w:type="dxa" w:w="160"/>
              <w:right w:type="dxa" w:w="180"/>
            </w:tcMar>
          </w:tcPr>
          <w:p>
            <w:pPr>
              <w:jc w:val="center"/>
            </w:pPr>
            <w:r>
              <w:rPr>
                <w:rFonts w:ascii="Arial" w:cs="Arial" w:eastAsia="Arial" w:hAnsi="Arial"/>
                <w:b/>
                <w:bCs/>
                <w:color w:val="5A4AB7"/>
                <w:sz w:val="52"/>
                <w:szCs w:val="52"/>
              </w:rPr>
              <w:t xml:space="preserve">5</w:t>
            </w:r>
          </w:p>
          <w:p>
            <w:pPr>
              <w:spacing w:before="40"/>
              <w:jc w:val="center"/>
            </w:pPr>
            <w:r>
              <w:rPr>
                <w:rFonts w:ascii="Arial" w:cs="Arial" w:eastAsia="Arial" w:hAnsi="Arial"/>
                <w:color w:val="6B6B6B"/>
                <w:sz w:val="18"/>
                <w:szCs w:val="18"/>
              </w:rPr>
              <w:t xml:space="preserve">Pain points with &gt;20 repetitions identified</w:t>
            </w:r>
          </w:p>
        </w:tc>
      </w:tr>
    </w:tbl>
    <w:p>
      <w:pPr>
        <w:spacing w:before="160" w:after="0"/>
      </w:pPr>
      <w:r>
        <w:t xml:space="preserve"/>
      </w:r>
    </w:p>
    <w:p>
      <w:pPr>
        <w:pStyle w:val="Heading2"/>
        <w:pBdr>
          <w:bottom w:val="single" w:color="5A4AB7" w:sz="4" w:space="4"/>
        </w:pBdr>
        <w:spacing w:before="320" w:after="120"/>
      </w:pPr>
      <w:commentRangeStart w:id="0"/>
      <w:r>
        <w:rPr>
          <w:rFonts w:ascii="Arial" w:cs="Arial" w:eastAsia="Arial" w:hAnsi="Arial"/>
          <w:b/>
          <w:bCs/>
          <w:color w:val="5A4AB7"/>
          <w:sz w:val="26"/>
          <w:szCs w:val="26"/>
        </w:rPr>
        <w:t xml:space="preserve">01 — Brief and context</w:t>
      </w:r>
      <w:commentRangeEnd w:id="0"/>
      <w:r>
        <w:rPr>
          <w:rStyle w:val="CommentReference"/>
        </w:rPr>
        <w:commentReference w:id="0"/>
      </w:r>
    </w:p>
    <w:p>
      <w:pPr>
        <w:spacing w:before="80" w:after="80" w:line="320"/>
      </w:pPr>
      <w:r>
        <w:rPr>
          <w:rFonts w:ascii="Arial" w:cs="Arial" w:eastAsia="Arial" w:hAnsi="Arial"/>
          <w:color w:val="1A1A1A"/>
          <w:sz w:val="22"/>
          <w:szCs w:val="22"/>
        </w:rPr>
        <w:t xml:space="preserve">A Mastercard banking operator embedded within one of Chile’s largest retail chains was running a service redesign of its physical branches. As part of this project, they asked us to investigate a specific problem: self-service kiosks placed in-branch for customers to manage their accounts were generating unusually low NPS scores — but no one knew why.</w:t>
      </w:r>
    </w:p>
    <w:p>
      <w:pPr>
        <w:spacing w:before="80" w:after="0"/>
      </w:pPr>
      <w:r>
        <w:t xml:space="preserve"/>
      </w:r>
    </w:p>
    <w:p>
      <w:pPr>
        <w:spacing w:before="80" w:after="80" w:line="320"/>
      </w:pPr>
      <w:r>
        <w:rPr>
          <w:rFonts w:ascii="Arial" w:cs="Arial" w:eastAsia="Arial" w:hAnsi="Arial"/>
          <w:color w:val="1A1A1A"/>
          <w:sz w:val="22"/>
          <w:szCs w:val="22"/>
        </w:rPr>
        <w:t xml:space="preserve">The ask was a diagnostic, not a redesign. The company needed to understand what was broken and what to fix — with enough rigour to justify development investment and prioritise improvements against other roadmap items.</w:t>
      </w:r>
    </w:p>
    <w:p>
      <w:pPr>
        <w:spacing w:before="80" w:after="0"/>
      </w:pPr>
      <w:r>
        <w:t xml:space="preserve"/>
      </w:r>
    </w:p>
    <w:p>
      <w:pPr>
        <w:spacing w:before="80" w:after="80" w:line="320"/>
      </w:pPr>
      <w:r>
        <w:rPr>
          <w:rFonts w:ascii="Arial" w:cs="Arial" w:eastAsia="Arial" w:hAnsi="Arial"/>
          <w:color w:val="1A1A1A"/>
          <w:sz w:val="22"/>
          <w:szCs w:val="22"/>
        </w:rPr>
        <w:t xml:space="preserve">The scope covered the full kiosk interface: usability, interaction design, information architecture, accessibility, content labelling, and the match between what users expected to accomplish and what the kiosk actually let them do.</w:t>
      </w:r>
    </w:p>
    <w:p>
      <w:pPr>
        <w:spacing w:before="160" w:after="0"/>
      </w:pPr>
      <w:r>
        <w:t xml:space="preserve"/>
      </w:r>
    </w:p>
    <w:p>
      <w:pPr>
        <w:pStyle w:val="Heading2"/>
        <w:pBdr>
          <w:bottom w:val="single" w:color="5A4AB7" w:sz="4" w:space="4"/>
        </w:pBdr>
        <w:spacing w:before="320" w:after="120"/>
      </w:pPr>
      <w:r>
        <w:rPr>
          <w:rFonts w:ascii="Arial" w:cs="Arial" w:eastAsia="Arial" w:hAnsi="Arial"/>
          <w:b/>
          <w:bCs/>
          <w:color w:val="5A4AB7"/>
          <w:sz w:val="26"/>
          <w:szCs w:val="26"/>
        </w:rPr>
        <w:t xml:space="preserve">02 — Research strategy: three lenses, one problem</w:t>
      </w:r>
    </w:p>
    <w:p>
      <w:pPr>
        <w:spacing w:before="80" w:after="80" w:line="320"/>
      </w:pPr>
      <w:r>
        <w:rPr>
          <w:rFonts w:ascii="Arial" w:cs="Arial" w:eastAsia="Arial" w:hAnsi="Arial"/>
          <w:color w:val="1A1A1A"/>
          <w:sz w:val="22"/>
          <w:szCs w:val="22"/>
        </w:rPr>
        <w:t xml:space="preserve">Rather than starting with the interface, I designed a three-method research approach that would let us triangulate findings from different angles. Each method was chosen to answer a specific type of question:</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Expert usability analysis — to identify what was objectively broken against established standards</w:t>
      </w:r>
    </w:p>
    <w:p>
      <w:pPr>
        <w:pStyle w:val="ListParagraph"/>
        <w:numPr>
          <w:ilvl w:val="0"/>
          <w:numId w:val="2"/>
        </w:numPr>
        <w:spacing w:before="60" w:after="60"/>
      </w:pPr>
      <w:r>
        <w:rPr>
          <w:rFonts w:ascii="Arial" w:cs="Arial" w:eastAsia="Arial" w:hAnsi="Arial"/>
          <w:color w:val="1A1A1A"/>
          <w:sz w:val="22"/>
          <w:szCs w:val="22"/>
        </w:rPr>
        <w:t xml:space="preserve">Verbatim NPS comment analysis — to understand what real users were experiencing in their own words</w:t>
      </w:r>
    </w:p>
    <w:p>
      <w:pPr>
        <w:pStyle w:val="ListParagraph"/>
        <w:numPr>
          <w:ilvl w:val="0"/>
          <w:numId w:val="2"/>
        </w:numPr>
        <w:spacing w:before="60" w:after="60"/>
      </w:pPr>
      <w:r>
        <w:rPr>
          <w:rFonts w:ascii="Arial" w:cs="Arial" w:eastAsia="Arial" w:hAnsi="Arial"/>
          <w:color w:val="1A1A1A"/>
          <w:sz w:val="22"/>
          <w:szCs w:val="22"/>
        </w:rPr>
        <w:t xml:space="preserve">In-context guerrilla testing — to observe real behaviour on live kiosks with actual users</w:t>
      </w:r>
    </w:p>
    <w:p>
      <w:pPr>
        <w:spacing w:before="80" w:after="0"/>
      </w:pPr>
      <w:r>
        <w:t xml:space="preserve"/>
      </w:r>
    </w:p>
    <w:p>
      <w:pPr>
        <w:spacing w:before="80" w:after="80" w:line="320"/>
      </w:pPr>
      <w:r>
        <w:rPr>
          <w:rFonts w:ascii="Arial" w:cs="Arial" w:eastAsia="Arial" w:hAnsi="Arial"/>
          <w:color w:val="1A1A1A"/>
          <w:sz w:val="22"/>
          <w:szCs w:val="22"/>
        </w:rPr>
        <w:t xml:space="preserve">The sequencing was deliberate: the expert analysis gave us a framework for interpreting the verbatims, and both together shaped the hypotheses we tested in the guerrilla sessions. By the time we ran the in-person tests, we already knew which flows were most likely to fail — we were validating, not exploring blind.</w:t>
      </w:r>
    </w:p>
    <w:p>
      <w:pPr>
        <w:spacing w:before="160" w:after="0"/>
      </w:pPr>
      <w:r>
        <w:t xml:space="preserve"/>
      </w:r>
    </w:p>
    <w:p>
      <w:pPr>
        <w:pStyle w:val="Heading2"/>
        <w:pBdr>
          <w:bottom w:val="single" w:color="5A4AB7" w:sz="4" w:space="4"/>
        </w:pBdr>
        <w:spacing w:before="320" w:after="120"/>
      </w:pPr>
      <w:commentRangeStart w:id="1"/>
      <w:r>
        <w:rPr>
          <w:rFonts w:ascii="Arial" w:cs="Arial" w:eastAsia="Arial" w:hAnsi="Arial"/>
          <w:b/>
          <w:bCs/>
          <w:color w:val="5A4AB7"/>
          <w:sz w:val="26"/>
          <w:szCs w:val="26"/>
        </w:rPr>
        <w:t xml:space="preserve">03 — Expert usability analysis</w:t>
      </w:r>
      <w:commentRangeEnd w:id="1"/>
      <w:r>
        <w:rPr>
          <w:rStyle w:val="CommentReference"/>
        </w:rPr>
        <w:commentReference w:id="1"/>
      </w:r>
    </w:p>
    <w:p>
      <w:pPr>
        <w:spacing w:before="80" w:after="80" w:line="320"/>
      </w:pPr>
      <w:r>
        <w:rPr>
          <w:rFonts w:ascii="Arial" w:cs="Arial" w:eastAsia="Arial" w:hAnsi="Arial"/>
          <w:color w:val="1A1A1A"/>
          <w:sz w:val="22"/>
          <w:szCs w:val="22"/>
        </w:rPr>
        <w:t xml:space="preserve">I developed a custom evaluation framework covering six dimensions relevant to kiosk-specific interfaces: ergonomics, accessibility, content and flows, layout and visual design, control, and feedback and help.</w:t>
      </w:r>
    </w:p>
    <w:p>
      <w:pPr>
        <w:spacing w:before="80" w:after="0"/>
      </w:pPr>
      <w:r>
        <w:t xml:space="preserve"/>
      </w:r>
    </w:p>
    <w:p>
      <w:pPr>
        <w:spacing w:before="80" w:after="80" w:line="320"/>
      </w:pPr>
      <w:r>
        <w:rPr>
          <w:rFonts w:ascii="Arial" w:cs="Arial" w:eastAsia="Arial" w:hAnsi="Arial"/>
          <w:color w:val="1A1A1A"/>
          <w:sz w:val="22"/>
          <w:szCs w:val="22"/>
        </w:rPr>
        <w:t xml:space="preserve">Each dimension was scored on a three-point scale: fully meets the criteria, partially meets, or does not meet. Items that didn't apply to kiosk-format interfaces were excluded.</w:t>
      </w:r>
    </w:p>
    <w:p>
      <w:pPr>
        <w:spacing w:before="80" w:after="0"/>
      </w:pPr>
      <w:r>
        <w:t xml:space="preserve"/>
      </w:r>
    </w:p>
    <w:p>
      <w:pPr>
        <w:spacing w:before="80" w:after="80" w:line="320"/>
      </w:pPr>
      <w:r>
        <w:rPr>
          <w:rFonts w:ascii="Arial" w:cs="Arial" w:eastAsia="Arial" w:hAnsi="Arial"/>
          <w:color w:val="1A1A1A"/>
          <w:sz w:val="22"/>
          <w:szCs w:val="22"/>
        </w:rPr>
        <w:t xml:space="preserve">The results were striking. The global compliance rate was 44.7% — below the 70% threshold we set as the minimum for a functional self-service interface. The two weakest dimensions were:</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Control, feedback and help — 25% compliance. Users had no reliable way to understand the status of their actions, recover from errors, or find help when stuck.</w:t>
      </w:r>
    </w:p>
    <w:p>
      <w:pPr>
        <w:pStyle w:val="ListParagraph"/>
        <w:numPr>
          <w:ilvl w:val="0"/>
          <w:numId w:val="2"/>
        </w:numPr>
        <w:spacing w:before="60" w:after="60"/>
      </w:pPr>
      <w:r>
        <w:rPr>
          <w:rFonts w:ascii="Arial" w:cs="Arial" w:eastAsia="Arial" w:hAnsi="Arial"/>
          <w:color w:val="1A1A1A"/>
          <w:sz w:val="22"/>
          <w:szCs w:val="22"/>
        </w:rPr>
        <w:t xml:space="preserve">Accessibility — 36.4% compliance. Contrast ratios, touch target sizes and text legibility failed basic standards, with particular issues for users with visual or motor impairments.</w:t>
      </w:r>
    </w:p>
    <w:p>
      <w:pPr>
        <w:spacing w:before="80" w:after="0"/>
      </w:pPr>
      <w:r>
        <w:t xml:space="preserve"/>
      </w:r>
    </w:p>
    <w:p>
      <w:pPr>
        <w:pBdr>
          <w:left w:val="single" w:color="5A4AB7" w:sz="12" w:space="12"/>
        </w:pBdr>
        <w:spacing w:before="160" w:after="160"/>
        <w:ind w:left="560"/>
      </w:pPr>
      <w:r>
        <w:rPr>
          <w:rFonts w:ascii="Arial" w:cs="Arial" w:eastAsia="Arial" w:hAnsi="Arial"/>
          <w:color w:val="6B6B6B"/>
          <w:sz w:val="22"/>
          <w:szCs w:val="22"/>
        </w:rPr>
        <w:t xml:space="preserve">The highest-scoring dimensions — layout and visual design (57.7%) and ergonomics (54.2%) — still fell below the 70% functional threshold. The kiosk looked acceptable but didn't work.</w:t>
      </w:r>
    </w:p>
    <w:p>
      <w:pPr>
        <w:spacing w:before="160" w:after="0"/>
      </w:pPr>
      <w:r>
        <w:t xml:space="preserve"/>
      </w:r>
    </w:p>
    <w:p>
      <w:pPr>
        <w:pStyle w:val="Heading2"/>
        <w:pBdr>
          <w:bottom w:val="single" w:color="5A4AB7" w:sz="4" w:space="4"/>
        </w:pBdr>
        <w:spacing w:before="320" w:after="120"/>
      </w:pPr>
      <w:commentRangeStart w:id="2"/>
      <w:r>
        <w:rPr>
          <w:rFonts w:ascii="Arial" w:cs="Arial" w:eastAsia="Arial" w:hAnsi="Arial"/>
          <w:b/>
          <w:bCs/>
          <w:color w:val="5A4AB7"/>
          <w:sz w:val="26"/>
          <w:szCs w:val="26"/>
        </w:rPr>
        <w:t xml:space="preserve">04 — Verbatim analysis: 222 voices</w:t>
      </w:r>
      <w:commentRangeEnd w:id="2"/>
      <w:r>
        <w:rPr>
          <w:rStyle w:val="CommentReference"/>
        </w:rPr>
        <w:commentReference w:id="2"/>
      </w:r>
    </w:p>
    <w:p>
      <w:pPr>
        <w:spacing w:before="80" w:after="80" w:line="320"/>
      </w:pPr>
      <w:commentRangeStart w:id="3"/>
      <w:r>
        <w:rPr>
          <w:rFonts w:ascii="Arial" w:cs="Arial" w:eastAsia="Arial" w:hAnsi="Arial"/>
          <w:color w:val="1A1A1A"/>
          <w:sz w:val="22"/>
          <w:szCs w:val="22"/>
        </w:rPr>
        <w:t xml:space="preserve">The company had accumulated NPS data across their branch network but had never systematically analyzed the open-text responses from detractor scores. I reviewed 222 comments from detractor users collected between July and October 2020, across branches in different regions.</w:t>
      </w:r>
      <w:commentRangeEnd w:id="3"/>
      <w:r>
        <w:rPr>
          <w:rStyle w:val="CommentReference"/>
        </w:rPr>
        <w:commentReference w:id="3"/>
      </w:r>
    </w:p>
    <w:p>
      <w:pPr>
        <w:spacing w:before="80" w:after="0"/>
      </w:pPr>
      <w:r>
        <w:t xml:space="preserve"/>
      </w:r>
    </w:p>
    <w:p>
      <w:pPr>
        <w:spacing w:before="80" w:after="80" w:line="320"/>
      </w:pPr>
      <w:r>
        <w:rPr>
          <w:rFonts w:ascii="Arial" w:cs="Arial" w:eastAsia="Arial" w:hAnsi="Arial"/>
          <w:color w:val="1A1A1A"/>
          <w:sz w:val="22"/>
          <w:szCs w:val="22"/>
        </w:rPr>
        <w:t xml:space="preserve">I coded each comment into two categories: pain-focused (describing a bad experience without suggesting improvement) and improvement-focused (describing a bad experience with a suggested fix). This distinction was methodologically important — pain comments tell you what's broken, improvement comments tell you what users think they need, which are two different things.</w:t>
      </w:r>
    </w:p>
    <w:p>
      <w:pPr>
        <w:spacing w:before="80" w:after="0"/>
      </w:pPr>
      <w:r>
        <w:t xml:space="preserve"/>
      </w:r>
    </w:p>
    <w:p>
      <w:pPr>
        <w:spacing w:before="80" w:after="80" w:line="320"/>
      </w:pPr>
      <w:r>
        <w:rPr>
          <w:rFonts w:ascii="Arial" w:cs="Arial" w:eastAsia="Arial" w:hAnsi="Arial"/>
          <w:color w:val="1A1A1A"/>
          <w:sz w:val="22"/>
          <w:szCs w:val="22"/>
        </w:rPr>
        <w:t xml:space="preserve">From the pain comments, I identified five recurring problems with more than 20 repetitions each — a threshold I set to ensure we were addressing systemic issues, not outliers. These five pain clusters became the hypotheses for the guerrilla testing phase.</w:t>
      </w:r>
    </w:p>
    <w:p>
      <w:pPr>
        <w:spacing w:before="160" w:after="0"/>
      </w:pPr>
      <w:r>
        <w:t xml:space="preserve"/>
      </w:r>
    </w:p>
    <w:p>
      <w:pPr>
        <w:pStyle w:val="Heading2"/>
        <w:pBdr>
          <w:bottom w:val="single" w:color="5A4AB7" w:sz="4" w:space="4"/>
        </w:pBdr>
        <w:spacing w:before="320" w:after="120"/>
      </w:pPr>
      <w:r>
        <w:rPr>
          <w:rFonts w:ascii="Arial" w:cs="Arial" w:eastAsia="Arial" w:hAnsi="Arial"/>
          <w:b/>
          <w:bCs/>
          <w:color w:val="5A4AB7"/>
          <w:sz w:val="26"/>
          <w:szCs w:val="26"/>
        </w:rPr>
        <w:t xml:space="preserve">05 — In-context guerrilla testing</w:t>
      </w:r>
    </w:p>
    <w:p>
      <w:pPr>
        <w:spacing w:before="200" w:after="80"/>
      </w:pPr>
      <w:commentRangeStart w:id="4"/>
      <w:r>
        <w:rPr>
          <w:rFonts w:ascii="Arial" w:cs="Arial" w:eastAsia="Arial" w:hAnsi="Arial"/>
          <w:b/>
          <w:bCs/>
          <w:color w:val="3C3489"/>
          <w:sz w:val="22"/>
          <w:szCs w:val="22"/>
        </w:rPr>
        <w:t xml:space="preserve">Test design</w:t>
      </w:r>
      <w:commentRangeEnd w:id="4"/>
      <w:r>
        <w:rPr>
          <w:rStyle w:val="CommentReference"/>
        </w:rPr>
        <w:commentReference w:id="4"/>
      </w:r>
    </w:p>
    <w:p>
      <w:pPr>
        <w:spacing w:before="80" w:after="80" w:line="320"/>
      </w:pPr>
      <w:r>
        <w:rPr>
          <w:rFonts w:ascii="Arial" w:cs="Arial" w:eastAsia="Arial" w:hAnsi="Arial"/>
          <w:color w:val="1A1A1A"/>
          <w:sz w:val="22"/>
          <w:szCs w:val="22"/>
        </w:rPr>
        <w:t xml:space="preserve">Because a lab test was outside the project budget, I designed and executed a guerrilla test directly at in-branch kiosks — the actual devices, in real context, with real customers. This was the right call: kiosk usability is highly dependent on physical context, lighting, time pressure and the emotional state of someone who has just come in to sort out a financial issue.</w:t>
      </w:r>
    </w:p>
    <w:p>
      <w:pPr>
        <w:spacing w:before="80" w:after="0"/>
      </w:pPr>
      <w:r>
        <w:t xml:space="preserve"/>
      </w:r>
    </w:p>
    <w:p>
      <w:pPr>
        <w:spacing w:before="80" w:after="80" w:line="320"/>
      </w:pPr>
      <w:commentRangeStart w:id="5"/>
      <w:r>
        <w:rPr>
          <w:rFonts w:ascii="Arial" w:cs="Arial" w:eastAsia="Arial" w:hAnsi="Arial"/>
          <w:color w:val="1A1A1A"/>
          <w:sz w:val="22"/>
          <w:szCs w:val="22"/>
        </w:rPr>
        <w:t xml:space="preserve">We tested across two branches in Santiago's Metropolitan Region during peak hours — 11am to 2pm on two consecutive days — contacting 90+ customers and recruiting 10 willing participants. Each session lasted an average of 10 minutes, with the longest session (a first-time user) running 17 minutes and the shortest (a frequent user) at 5 minutes. This variance in itself was a finding: the interface penalised inexperienced users disproportionately.</w:t>
      </w:r>
      <w:commentRangeEnd w:id="5"/>
      <w:r>
        <w:rPr>
          <w:rStyle w:val="CommentReference"/>
        </w:rPr>
        <w:commentReference w:id="5"/>
      </w:r>
    </w:p>
    <w:p>
      <w:pPr>
        <w:spacing w:before="80" w:after="0"/>
      </w:pPr>
      <w:r>
        <w:t xml:space="preserve"/>
      </w:r>
    </w:p>
    <w:p>
      <w:pPr>
        <w:spacing w:before="200" w:after="80"/>
      </w:pPr>
      <w:r>
        <w:rPr>
          <w:rFonts w:ascii="Arial" w:cs="Arial" w:eastAsia="Arial" w:hAnsi="Arial"/>
          <w:b/>
          <w:bCs/>
          <w:color w:val="3C3489"/>
          <w:sz w:val="22"/>
          <w:szCs w:val="22"/>
        </w:rPr>
        <w:t xml:space="preserve">Hypotheses tested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DDDDDD" w:sz="1"/>
              <w:left w:val="single" w:color="DDDDDD" w:sz="1"/>
              <w:bottom w:val="single" w:color="DDDDDD" w:sz="1"/>
              <w:right w:val="single" w:color="DDDDDD" w:sz="1"/>
            </w:tcBorders>
            <w:shd w:fill="EEEDFE" w:val="clear"/>
            <w:tcMar>
              <w:top w:type="dxa" w:w="100"/>
              <w:left w:type="dxa" w:w="120"/>
              <w:bottom w:type="dxa" w:w="100"/>
              <w:right w:type="dxa" w:w="120"/>
            </w:tcMar>
          </w:tcPr>
          <w:p>
            <w:r>
              <w:rPr>
                <w:rFonts w:ascii="Arial" w:cs="Arial" w:eastAsia="Arial" w:hAnsi="Arial"/>
                <w:b/>
                <w:bCs/>
                <w:color w:val="3C3489"/>
                <w:sz w:val="20"/>
                <w:szCs w:val="20"/>
              </w:rPr>
              <w:t xml:space="preserve">#</w:t>
            </w:r>
          </w:p>
        </w:tc>
        <w:tc>
          <w:tcPr>
            <w:tcW w:type="dxa" w:w="3480"/>
            <w:tcBorders>
              <w:top w:val="single" w:color="DDDDDD" w:sz="1"/>
              <w:left w:val="single" w:color="DDDDDD" w:sz="1"/>
              <w:bottom w:val="single" w:color="DDDDDD" w:sz="1"/>
              <w:right w:val="single" w:color="DDDDDD" w:sz="1"/>
            </w:tcBorders>
            <w:shd w:fill="EEEDFE" w:val="clear"/>
            <w:tcMar>
              <w:top w:type="dxa" w:w="100"/>
              <w:left w:type="dxa" w:w="120"/>
              <w:bottom w:type="dxa" w:w="100"/>
              <w:right w:type="dxa" w:w="120"/>
            </w:tcMar>
          </w:tcPr>
          <w:p>
            <w:r>
              <w:rPr>
                <w:rFonts w:ascii="Arial" w:cs="Arial" w:eastAsia="Arial" w:hAnsi="Arial"/>
                <w:b/>
                <w:bCs/>
                <w:color w:val="3C3489"/>
                <w:sz w:val="20"/>
                <w:szCs w:val="20"/>
              </w:rPr>
              <w:t xml:space="preserve">Hypothesis</w:t>
            </w:r>
          </w:p>
        </w:tc>
        <w:tc>
          <w:tcPr>
            <w:tcW w:type="dxa" w:w="5480"/>
            <w:tcBorders>
              <w:top w:val="single" w:color="DDDDDD" w:sz="1"/>
              <w:left w:val="single" w:color="DDDDDD" w:sz="1"/>
              <w:bottom w:val="single" w:color="DDDDDD" w:sz="1"/>
              <w:right w:val="single" w:color="DDDDDD" w:sz="1"/>
            </w:tcBorders>
            <w:shd w:fill="EEEDFE" w:val="clear"/>
            <w:tcMar>
              <w:top w:type="dxa" w:w="100"/>
              <w:left w:type="dxa" w:w="120"/>
              <w:bottom w:type="dxa" w:w="100"/>
              <w:right w:type="dxa" w:w="120"/>
            </w:tcMar>
          </w:tcPr>
          <w:p>
            <w:r>
              <w:rPr>
                <w:rFonts w:ascii="Arial" w:cs="Arial" w:eastAsia="Arial" w:hAnsi="Arial"/>
                <w:b/>
                <w:bCs/>
                <w:color w:val="3C3489"/>
                <w:sz w:val="20"/>
                <w:szCs w:val="20"/>
              </w:rPr>
              <w:t xml:space="preserve">Finding</w:t>
            </w:r>
          </w:p>
        </w:tc>
      </w:tr>
      <w:tr>
        <w:tc>
          <w:tcPr>
            <w:tcW w:type="dxa" w:w="40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jc w:val="center"/>
            </w:pPr>
            <w:r>
              <w:rPr>
                <w:rFonts w:ascii="Arial" w:cs="Arial" w:eastAsia="Arial" w:hAnsi="Arial"/>
                <w:color w:val="1A1A1A"/>
                <w:sz w:val="20"/>
                <w:szCs w:val="20"/>
              </w:rPr>
              <w:t xml:space="preserve">1</w:t>
            </w:r>
          </w:p>
        </w:tc>
        <w:tc>
          <w:tcPr>
            <w:tcW w:type="dxa" w:w="3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A1A1A"/>
                <w:sz w:val="20"/>
                <w:szCs w:val="20"/>
              </w:rPr>
              <w:t xml:space="preserve">Users understand what information they'll get from the first profile view (ID only).</w:t>
            </w:r>
          </w:p>
        </w:tc>
        <w:tc>
          <w:tcPr>
            <w:tcW w:type="dxa" w:w="5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b/>
                <w:bCs/>
                <w:color w:val="5A4AB7"/>
                <w:sz w:val="20"/>
                <w:szCs w:val="20"/>
              </w:rPr>
              <w:t xml:space="preserve">UNDETERMINED </w:t>
            </w:r>
            <w:r>
              <w:rPr>
                <w:rFonts w:ascii="Arial" w:cs="Arial" w:eastAsia="Arial" w:hAnsi="Arial"/>
                <w:color w:val="1A1A1A"/>
                <w:sz w:val="20"/>
                <w:szCs w:val="20"/>
              </w:rPr>
              <w:t xml:space="preserve">Some users understood the distinction between view types; others skipped directly to the detailed view without testing the simpler one.</w:t>
            </w:r>
          </w:p>
        </w:tc>
      </w:tr>
      <w:tr>
        <w:tc>
          <w:tcPr>
            <w:tcW w:type="dxa" w:w="40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jc w:val="center"/>
            </w:pPr>
            <w:r>
              <w:rPr>
                <w:rFonts w:ascii="Arial" w:cs="Arial" w:eastAsia="Arial" w:hAnsi="Arial"/>
                <w:color w:val="1A1A1A"/>
                <w:sz w:val="20"/>
                <w:szCs w:val="20"/>
              </w:rPr>
              <w:t xml:space="preserve">2</w:t>
            </w:r>
          </w:p>
        </w:tc>
        <w:tc>
          <w:tcPr>
            <w:tcW w:type="dxa" w:w="3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A1A1A"/>
                <w:sz w:val="20"/>
                <w:szCs w:val="20"/>
              </w:rPr>
              <w:t xml:space="preserve">Users can identify the purpose of each screen within the first few seconds.</w:t>
            </w:r>
          </w:p>
        </w:tc>
        <w:tc>
          <w:tcPr>
            <w:tcW w:type="dxa" w:w="5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b/>
                <w:bCs/>
                <w:color w:val="5A4AB7"/>
                <w:sz w:val="20"/>
                <w:szCs w:val="20"/>
              </w:rPr>
              <w:t xml:space="preserve">UNDETERMINED </w:t>
            </w:r>
            <w:r>
              <w:rPr>
                <w:rFonts w:ascii="Arial" w:cs="Arial" w:eastAsia="Arial" w:hAnsi="Arial"/>
                <w:color w:val="1A1A1A"/>
                <w:sz w:val="20"/>
                <w:szCs w:val="20"/>
              </w:rPr>
              <w:t xml:space="preserve">Expert users had no difficulty. First-time users could not quickly differentiate what each screen was for.</w:t>
            </w:r>
          </w:p>
        </w:tc>
      </w:tr>
      <w:tr>
        <w:tc>
          <w:tcPr>
            <w:tcW w:type="dxa" w:w="40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jc w:val="center"/>
            </w:pPr>
            <w:r>
              <w:rPr>
                <w:rFonts w:ascii="Arial" w:cs="Arial" w:eastAsia="Arial" w:hAnsi="Arial"/>
                <w:color w:val="1A1A1A"/>
                <w:sz w:val="20"/>
                <w:szCs w:val="20"/>
              </w:rPr>
              <w:t xml:space="preserve">3</w:t>
            </w:r>
          </w:p>
        </w:tc>
        <w:tc>
          <w:tcPr>
            <w:tcW w:type="dxa" w:w="3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A1A1A"/>
                <w:sz w:val="20"/>
                <w:szCs w:val="20"/>
              </w:rPr>
              <w:t xml:space="preserve">Users expect the kiosk to be advisory only — not to resolve issues.</w:t>
            </w:r>
          </w:p>
        </w:tc>
        <w:tc>
          <w:tcPr>
            <w:tcW w:type="dxa" w:w="5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b/>
                <w:bCs/>
                <w:color w:val="5A4AB7"/>
                <w:sz w:val="20"/>
                <w:szCs w:val="20"/>
              </w:rPr>
              <w:t xml:space="preserve">CONFIRMED </w:t>
            </w:r>
            <w:r>
              <w:rPr>
                <w:rFonts w:ascii="Arial" w:cs="Arial" w:eastAsia="Arial" w:hAnsi="Arial"/>
                <w:color w:val="1A1A1A"/>
                <w:sz w:val="20"/>
                <w:szCs w:val="20"/>
              </w:rPr>
              <w:t xml:space="preserve">All participants confirmed their expectations were informational. For resolution, they preferred to speak with a person.</w:t>
            </w:r>
          </w:p>
        </w:tc>
      </w:tr>
      <w:tr>
        <w:tc>
          <w:tcPr>
            <w:tcW w:type="dxa" w:w="40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jc w:val="center"/>
            </w:pPr>
            <w:r>
              <w:rPr>
                <w:rFonts w:ascii="Arial" w:cs="Arial" w:eastAsia="Arial" w:hAnsi="Arial"/>
                <w:color w:val="1A1A1A"/>
                <w:sz w:val="20"/>
                <w:szCs w:val="20"/>
              </w:rPr>
              <w:t xml:space="preserve">4</w:t>
            </w:r>
          </w:p>
        </w:tc>
        <w:tc>
          <w:tcPr>
            <w:tcW w:type="dxa" w:w="3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A1A1A"/>
                <w:sz w:val="20"/>
                <w:szCs w:val="20"/>
              </w:rPr>
              <w:t xml:space="preserve">Users understand the difference between a payment coupon and an account statement.</w:t>
            </w:r>
          </w:p>
        </w:tc>
        <w:tc>
          <w:tcPr>
            <w:tcW w:type="dxa" w:w="5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b/>
                <w:bCs/>
                <w:color w:val="5A4AB7"/>
                <w:sz w:val="20"/>
                <w:szCs w:val="20"/>
              </w:rPr>
              <w:t xml:space="preserve">REJECTED </w:t>
            </w:r>
            <w:r>
              <w:rPr>
                <w:rFonts w:ascii="Arial" w:cs="Arial" w:eastAsia="Arial" w:hAnsi="Arial"/>
                <w:color w:val="1A1A1A"/>
                <w:sz w:val="20"/>
                <w:szCs w:val="20"/>
              </w:rPr>
              <w:t xml:space="preserve">Only expert users could distinguish them by label. All others differentiated them only after printing both — a costly and frustrating discovery path.</w:t>
            </w:r>
          </w:p>
        </w:tc>
      </w:tr>
      <w:tr>
        <w:tc>
          <w:tcPr>
            <w:tcW w:type="dxa" w:w="400"/>
            <w:tcBorders>
              <w:top w:val="single" w:color="DDDDDD" w:sz="1"/>
              <w:left w:val="single" w:color="DDDDDD" w:sz="1"/>
              <w:bottom w:val="single" w:color="DDDDDD" w:sz="1"/>
              <w:right w:val="single" w:color="DDDDDD" w:sz="1"/>
            </w:tcBorders>
            <w:tcMar>
              <w:top w:type="dxa" w:w="100"/>
              <w:left w:type="dxa" w:w="120"/>
              <w:bottom w:type="dxa" w:w="100"/>
              <w:right w:type="dxa" w:w="120"/>
            </w:tcMar>
          </w:tcPr>
          <w:p>
            <w:pPr>
              <w:jc w:val="center"/>
            </w:pPr>
            <w:r>
              <w:rPr>
                <w:rFonts w:ascii="Arial" w:cs="Arial" w:eastAsia="Arial" w:hAnsi="Arial"/>
                <w:color w:val="1A1A1A"/>
                <w:sz w:val="20"/>
                <w:szCs w:val="20"/>
              </w:rPr>
              <w:t xml:space="preserve">5</w:t>
            </w:r>
          </w:p>
        </w:tc>
        <w:tc>
          <w:tcPr>
            <w:tcW w:type="dxa" w:w="3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A1A1A"/>
                <w:sz w:val="20"/>
                <w:szCs w:val="20"/>
              </w:rPr>
              <w:t xml:space="preserve">Feedback modules help users understand what is happening in the flow.</w:t>
            </w:r>
          </w:p>
        </w:tc>
        <w:tc>
          <w:tcPr>
            <w:tcW w:type="dxa" w:w="548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b/>
                <w:bCs/>
                <w:color w:val="5A4AB7"/>
                <w:sz w:val="20"/>
                <w:szCs w:val="20"/>
              </w:rPr>
              <w:t xml:space="preserve">REJECTED </w:t>
            </w:r>
            <w:r>
              <w:rPr>
                <w:rFonts w:ascii="Arial" w:cs="Arial" w:eastAsia="Arial" w:hAnsi="Arial"/>
                <w:color w:val="1A1A1A"/>
                <w:sz w:val="20"/>
                <w:szCs w:val="20"/>
              </w:rPr>
              <w:t xml:space="preserve">Users consistently ignored status and confirmation screens. The feedback language was too generic to communicate what had actually happened.</w:t>
            </w:r>
          </w:p>
        </w:tc>
      </w:tr>
    </w:tbl>
    <w:p>
      <w:pPr>
        <w:spacing w:before="160" w:after="0"/>
      </w:pPr>
      <w:r>
        <w:t xml:space="preserve"/>
      </w:r>
    </w:p>
    <w:p>
      <w:pPr>
        <w:pStyle w:val="Heading2"/>
        <w:pBdr>
          <w:bottom w:val="single" w:color="5A4AB7" w:sz="4" w:space="4"/>
        </w:pBdr>
        <w:spacing w:before="320" w:after="120"/>
      </w:pPr>
      <w:r>
        <w:rPr>
          <w:rFonts w:ascii="Arial" w:cs="Arial" w:eastAsia="Arial" w:hAnsi="Arial"/>
          <w:b/>
          <w:bCs/>
          <w:color w:val="5A4AB7"/>
          <w:sz w:val="26"/>
          <w:szCs w:val="26"/>
        </w:rPr>
        <w:t xml:space="preserve">06 — Key findings and diagnosis</w:t>
      </w:r>
    </w:p>
    <w:p>
      <w:pPr>
        <w:spacing w:before="80" w:after="80" w:line="320"/>
      </w:pPr>
      <w:r>
        <w:rPr>
          <w:rFonts w:ascii="Arial" w:cs="Arial" w:eastAsia="Arial" w:hAnsi="Arial"/>
          <w:color w:val="1A1A1A"/>
          <w:sz w:val="22"/>
          <w:szCs w:val="22"/>
        </w:rPr>
        <w:t xml:space="preserve">The most important insight from combining all three research methods was this: the NPS problems were not isolated incidents caused by individual interface failures. They were different expressions of the same unified problem — a kiosk that left users uncertain at every critical moment.</w:t>
      </w:r>
    </w:p>
    <w:p>
      <w:pPr>
        <w:spacing w:before="80" w:after="0"/>
      </w:pPr>
      <w:r>
        <w:t xml:space="preserve"/>
      </w:r>
    </w:p>
    <w:p>
      <w:pPr>
        <w:spacing w:before="80" w:after="80" w:line="320"/>
      </w:pPr>
      <w:r>
        <w:rPr>
          <w:rFonts w:ascii="Arial" w:cs="Arial" w:eastAsia="Arial" w:hAnsi="Arial"/>
          <w:color w:val="1A1A1A"/>
          <w:sz w:val="22"/>
          <w:szCs w:val="22"/>
        </w:rPr>
        <w:t xml:space="preserve">Users didn't know what they'd get when they selected a service. They didn't understand what was happening when they completed an action. They couldn't distinguish between document types without printing them. And when something went wrong, there was no recovery path they could find independently.</w:t>
      </w:r>
    </w:p>
    <w:p>
      <w:pPr>
        <w:spacing w:before="80" w:after="0"/>
      </w:pPr>
      <w:r>
        <w:t xml:space="preserve"/>
      </w:r>
    </w:p>
    <w:p>
      <w:pPr>
        <w:spacing w:before="80" w:after="80" w:line="320"/>
      </w:pPr>
      <w:r>
        <w:rPr>
          <w:rFonts w:ascii="Arial" w:cs="Arial" w:eastAsia="Arial" w:hAnsi="Arial"/>
          <w:color w:val="1A1A1A"/>
          <w:sz w:val="22"/>
          <w:szCs w:val="22"/>
        </w:rPr>
        <w:t xml:space="preserve">Every pain point in the NPS comments traced back to one of three root causes: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Ambiguous labelling — service names and document types didn't match user mental models</w:t>
      </w:r>
    </w:p>
    <w:p>
      <w:pPr>
        <w:pStyle w:val="ListParagraph"/>
        <w:numPr>
          <w:ilvl w:val="0"/>
          <w:numId w:val="2"/>
        </w:numPr>
        <w:spacing w:before="60" w:after="60"/>
      </w:pPr>
      <w:r>
        <w:rPr>
          <w:rFonts w:ascii="Arial" w:cs="Arial" w:eastAsia="Arial" w:hAnsi="Arial"/>
          <w:color w:val="1A1A1A"/>
          <w:sz w:val="22"/>
          <w:szCs w:val="22"/>
        </w:rPr>
        <w:t xml:space="preserve">Absent or generic feedback — confirmation and status screens didn't tell users what had actually happened</w:t>
      </w:r>
    </w:p>
    <w:p>
      <w:pPr>
        <w:pStyle w:val="ListParagraph"/>
        <w:numPr>
          <w:ilvl w:val="0"/>
          <w:numId w:val="2"/>
        </w:numPr>
        <w:spacing w:before="60" w:after="60"/>
      </w:pPr>
      <w:r>
        <w:rPr>
          <w:rFonts w:ascii="Arial" w:cs="Arial" w:eastAsia="Arial" w:hAnsi="Arial"/>
          <w:color w:val="1A1A1A"/>
          <w:sz w:val="22"/>
          <w:szCs w:val="22"/>
        </w:rPr>
        <w:t xml:space="preserve">No recovery paths — errors left users stranded, with no clear next action</w:t>
      </w:r>
    </w:p>
    <w:p>
      <w:pPr>
        <w:spacing w:before="160" w:after="0"/>
      </w:pPr>
      <w:r>
        <w:t xml:space="preserve"/>
      </w:r>
    </w:p>
    <w:p>
      <w:pPr>
        <w:pStyle w:val="Heading2"/>
        <w:pBdr>
          <w:bottom w:val="single" w:color="5A4AB7" w:sz="4" w:space="4"/>
        </w:pBdr>
        <w:spacing w:before="320" w:after="120"/>
      </w:pPr>
      <w:r>
        <w:rPr>
          <w:rFonts w:ascii="Arial" w:cs="Arial" w:eastAsia="Arial" w:hAnsi="Arial"/>
          <w:b/>
          <w:bCs/>
          <w:color w:val="5A4AB7"/>
          <w:sz w:val="26"/>
          <w:szCs w:val="26"/>
        </w:rPr>
        <w:t xml:space="preserve">07 — Design recommendations</w:t>
      </w:r>
    </w:p>
    <w:p>
      <w:pPr>
        <w:spacing w:before="200" w:after="80"/>
      </w:pPr>
      <w:commentRangeStart w:id="6"/>
      <w:r>
        <w:rPr>
          <w:rFonts w:ascii="Arial" w:cs="Arial" w:eastAsia="Arial" w:hAnsi="Arial"/>
          <w:b/>
          <w:bCs/>
          <w:color w:val="3C3489"/>
          <w:sz w:val="22"/>
          <w:szCs w:val="22"/>
        </w:rPr>
        <w:t xml:space="preserve">Information architecture and labelling</w:t>
      </w:r>
      <w:commentRangeEnd w:id="6"/>
      <w:r>
        <w:rPr>
          <w:rStyle w:val="CommentReference"/>
        </w:rPr>
        <w:commentReference w:id="6"/>
      </w:r>
    </w:p>
    <w:p>
      <w:pPr>
        <w:spacing w:before="80" w:after="80" w:line="320"/>
      </w:pPr>
      <w:r>
        <w:rPr>
          <w:rFonts w:ascii="Arial" w:cs="Arial" w:eastAsia="Arial" w:hAnsi="Arial"/>
          <w:color w:val="1A1A1A"/>
          <w:sz w:val="22"/>
          <w:szCs w:val="22"/>
        </w:rPr>
        <w:t xml:space="preserve">The service menu was reorganised to match the way users described their tasks, not the internal product taxonomy. Card sorting data from the verbatim analysis informed the new category structure. Services were renamed to match natural language — the terms users actually used in their open-text NPS responses.</w:t>
      </w:r>
    </w:p>
    <w:p>
      <w:pPr>
        <w:spacing w:before="80" w:after="0"/>
      </w:pPr>
      <w:r>
        <w:t xml:space="preserve"/>
      </w:r>
    </w:p>
    <w:p>
      <w:pPr>
        <w:spacing w:before="200" w:after="80"/>
      </w:pPr>
      <w:commentRangeStart w:id="7"/>
      <w:r>
        <w:rPr>
          <w:rFonts w:ascii="Arial" w:cs="Arial" w:eastAsia="Arial" w:hAnsi="Arial"/>
          <w:b/>
          <w:bCs/>
          <w:color w:val="3C3489"/>
          <w:sz w:val="22"/>
          <w:szCs w:val="22"/>
        </w:rPr>
        <w:t xml:space="preserve">Feedback system redesign</w:t>
      </w:r>
      <w:commentRangeEnd w:id="7"/>
      <w:r>
        <w:rPr>
          <w:rStyle w:val="CommentReference"/>
        </w:rPr>
        <w:commentReference w:id="7"/>
      </w:r>
    </w:p>
    <w:p>
      <w:pPr>
        <w:spacing w:before="80" w:after="80" w:line="320"/>
      </w:pPr>
      <w:r>
        <w:rPr>
          <w:rFonts w:ascii="Arial" w:cs="Arial" w:eastAsia="Arial" w:hAnsi="Arial"/>
          <w:color w:val="1A1A1A"/>
          <w:sz w:val="22"/>
          <w:szCs w:val="22"/>
        </w:rPr>
        <w:t xml:space="preserve">Every transaction confirmation and status screen was rewritten to answer three questions explicitly: what just happened, what it means for the user, and what they should do next (if anything). Loaders were replaced with progress indicators showing step position within the flow. Error states were redesigned to be specific rather than generic.</w:t>
      </w:r>
    </w:p>
    <w:p>
      <w:pPr>
        <w:spacing w:before="80" w:after="0"/>
      </w:pPr>
      <w:r>
        <w:t xml:space="preserve"/>
      </w:r>
    </w:p>
    <w:p>
      <w:pPr>
        <w:spacing w:before="200" w:after="80"/>
      </w:pPr>
      <w:r>
        <w:rPr>
          <w:rFonts w:ascii="Arial" w:cs="Arial" w:eastAsia="Arial" w:hAnsi="Arial"/>
          <w:b/>
          <w:bCs/>
          <w:color w:val="3C3489"/>
          <w:sz w:val="22"/>
          <w:szCs w:val="22"/>
        </w:rPr>
        <w:t xml:space="preserve">Flow simplification</w:t>
      </w:r>
    </w:p>
    <w:p>
      <w:pPr>
        <w:spacing w:before="80" w:after="80" w:line="320"/>
      </w:pPr>
      <w:r>
        <w:rPr>
          <w:rFonts w:ascii="Arial" w:cs="Arial" w:eastAsia="Arial" w:hAnsi="Arial"/>
          <w:color w:val="1A1A1A"/>
          <w:sz w:val="22"/>
          <w:szCs w:val="22"/>
        </w:rPr>
        <w:t xml:space="preserve">The main service flows were reduced in steps by consolidating screens that required sequential decisions with no real separation of purpose. The document distinction problem — users unable to differentiate between a payment coupon and an account statement until after printing — was addressed by adding a preview with a plain-language description of each document before the user committed to printing.</w:t>
      </w:r>
    </w:p>
    <w:p>
      <w:pPr>
        <w:spacing w:before="80" w:after="0"/>
      </w:pPr>
      <w:r>
        <w:t xml:space="preserve"/>
      </w:r>
    </w:p>
    <w:p>
      <w:pPr>
        <w:spacing w:before="200" w:after="80"/>
      </w:pPr>
      <w:r>
        <w:rPr>
          <w:rFonts w:ascii="Arial" w:cs="Arial" w:eastAsia="Arial" w:hAnsi="Arial"/>
          <w:b/>
          <w:bCs/>
          <w:color w:val="3C3489"/>
          <w:sz w:val="22"/>
          <w:szCs w:val="22"/>
        </w:rPr>
        <w:t xml:space="preserve">Accessibility improvements</w:t>
      </w:r>
    </w:p>
    <w:p>
      <w:pPr>
        <w:spacing w:before="80" w:after="80" w:line="320"/>
      </w:pPr>
      <w:r>
        <w:rPr>
          <w:rFonts w:ascii="Arial" w:cs="Arial" w:eastAsia="Arial" w:hAnsi="Arial"/>
          <w:color w:val="1A1A1A"/>
          <w:sz w:val="22"/>
          <w:szCs w:val="22"/>
        </w:rPr>
        <w:t xml:space="preserve">Contrast ratios across the interface were raised to WCAG AA compliance. Touch targets were enlarged to meet minimum sizing for users with motor impairments. High-value text elements — account numbers, balances, and document names — were increased in size and weight to be legible at the typical standing distance from a kiosk screen.</w:t>
      </w:r>
    </w:p>
    <w:p>
      <w:pPr>
        <w:spacing w:before="80" w:after="0"/>
      </w:pPr>
      <w:r>
        <w:t xml:space="preserve"/>
      </w:r>
    </w:p>
    <w:p>
      <w:pPr>
        <w:spacing w:before="80" w:after="80" w:line="320"/>
      </w:pPr>
      <w:r>
        <w:rPr>
          <w:rFonts w:ascii="Arial" w:cs="Arial" w:eastAsia="Arial" w:hAnsi="Arial"/>
          <w:color w:val="1A1A1A"/>
          <w:sz w:val="22"/>
          <w:szCs w:val="22"/>
        </w:rPr>
        <w:t xml:space="preserve">These recommendations were delivered to the client as a prioritised roadmap, with each improvement mapped to the specific NPS pain points it addressed — giving the product team a clear, evidence-backed case for development investment.</w:t>
      </w:r>
    </w:p>
    <w:p>
      <w:pPr>
        <w:spacing w:before="160" w:after="0"/>
      </w:pPr>
      <w:r>
        <w:t xml:space="preserve"/>
      </w:r>
    </w:p>
    <w:p>
      <w:pPr>
        <w:pStyle w:val="Heading2"/>
        <w:pBdr>
          <w:bottom w:val="single" w:color="5A4AB7" w:sz="4" w:space="4"/>
        </w:pBdr>
        <w:spacing w:before="320" w:after="120"/>
      </w:pPr>
      <w:r>
        <w:rPr>
          <w:rFonts w:ascii="Arial" w:cs="Arial" w:eastAsia="Arial" w:hAnsi="Arial"/>
          <w:b/>
          <w:bCs/>
          <w:color w:val="5A4AB7"/>
          <w:sz w:val="26"/>
          <w:szCs w:val="26"/>
        </w:rPr>
        <w:t xml:space="preserve">08 — Key learnings</w:t>
      </w:r>
    </w:p>
    <w:p>
      <w:pPr>
        <w:spacing w:before="200" w:after="80"/>
      </w:pPr>
      <w:r>
        <w:rPr>
          <w:rFonts w:ascii="Arial" w:cs="Arial" w:eastAsia="Arial" w:hAnsi="Arial"/>
          <w:b/>
          <w:bCs/>
          <w:color w:val="3C3489"/>
          <w:sz w:val="22"/>
          <w:szCs w:val="22"/>
        </w:rPr>
        <w:t xml:space="preserve">Mixed-methods triangulation produces better diagnoses than any single method</w:t>
      </w:r>
    </w:p>
    <w:p>
      <w:pPr>
        <w:spacing w:before="80" w:after="80" w:line="320"/>
      </w:pPr>
      <w:r>
        <w:rPr>
          <w:rFonts w:ascii="Arial" w:cs="Arial" w:eastAsia="Arial" w:hAnsi="Arial"/>
          <w:color w:val="1A1A1A"/>
          <w:sz w:val="22"/>
          <w:szCs w:val="22"/>
        </w:rPr>
        <w:t xml:space="preserve">If I had only run the expert analysis, I would have found the interface problems but missed the emotional context behind them. If I had only done the guerrilla test, I might have fixed the symptoms visible in the session without addressing the systemic root cause. The combination — each method informing the next — was what made the diagnosis credible and actionable.</w:t>
      </w:r>
    </w:p>
    <w:p>
      <w:pPr>
        <w:spacing w:before="80" w:after="0"/>
      </w:pPr>
      <w:r>
        <w:t xml:space="preserve"/>
      </w:r>
    </w:p>
    <w:p>
      <w:pPr>
        <w:spacing w:before="200" w:after="80"/>
      </w:pPr>
      <w:r>
        <w:rPr>
          <w:rFonts w:ascii="Arial" w:cs="Arial" w:eastAsia="Arial" w:hAnsi="Arial"/>
          <w:b/>
          <w:bCs/>
          <w:color w:val="3C3489"/>
          <w:sz w:val="22"/>
          <w:szCs w:val="22"/>
        </w:rPr>
        <w:t xml:space="preserve">User language is the most direct route to IA problems</w:t>
      </w:r>
    </w:p>
    <w:p>
      <w:pPr>
        <w:spacing w:before="80" w:after="80" w:line="320"/>
      </w:pPr>
      <w:r>
        <w:rPr>
          <w:rFonts w:ascii="Arial" w:cs="Arial" w:eastAsia="Arial" w:hAnsi="Arial"/>
          <w:color w:val="1A1A1A"/>
          <w:sz w:val="22"/>
          <w:szCs w:val="22"/>
        </w:rPr>
        <w:t xml:space="preserve">Reading 222 verbatim comments was one of the most efficient research investments in this project. The open-text responses contained the exact words users expected to see in the interface — and the gap between those words and the actual labels in the kiosk was the primary cause of the navigation failures we observed in testing.</w:t>
      </w:r>
    </w:p>
    <w:p>
      <w:pPr>
        <w:spacing w:before="80" w:after="0"/>
      </w:pPr>
      <w:r>
        <w:t xml:space="preserve"/>
      </w:r>
    </w:p>
    <w:p>
      <w:pPr>
        <w:spacing w:before="200" w:after="80"/>
      </w:pPr>
      <w:r>
        <w:rPr>
          <w:rFonts w:ascii="Arial" w:cs="Arial" w:eastAsia="Arial" w:hAnsi="Arial"/>
          <w:b/>
          <w:bCs/>
          <w:color w:val="3C3489"/>
          <w:sz w:val="22"/>
          <w:szCs w:val="22"/>
        </w:rPr>
        <w:t xml:space="preserve">A problem that affects one user likely affects many</w:t>
      </w:r>
    </w:p>
    <w:p>
      <w:pPr>
        <w:spacing w:before="80" w:after="80" w:line="320"/>
      </w:pPr>
      <w:r>
        <w:rPr>
          <w:rFonts w:ascii="Arial" w:cs="Arial" w:eastAsia="Arial" w:hAnsi="Arial"/>
          <w:color w:val="1A1A1A"/>
          <w:sz w:val="22"/>
          <w:szCs w:val="22"/>
        </w:rPr>
        <w:t xml:space="preserve">The client suspected 'something was wrong' but assumed the low NPS was caused by edge-case technical failures. The research showed the opposite: every pain point in the verbatims was a systemic design failure that affected a significant proportion of users. The kiosk wasn't broken for some people — it was broken for most people, in predictable and fixable ways.</w:t>
      </w:r>
    </w:p>
    <w:p>
      <w:pPr>
        <w:spacing w:before="80" w:after="0"/>
      </w:pPr>
      <w:r>
        <w:t xml:space="preserve"/>
      </w:r>
    </w:p>
    <w:p>
      <w:pPr>
        <w:pBdr>
          <w:bottom w:val="single" w:color="DDDDDD" w:sz="2" w:space="1"/>
        </w:pBdr>
        <w:spacing w:before="200" w:after="200"/>
      </w:pPr>
      <w:r>
        <w:t xml:space="preserve"/>
      </w:r>
    </w:p>
    <w:p>
      <w:pPr>
        <w:spacing w:before="120" w:after="60"/>
      </w:pPr>
      <w:r>
        <w:rPr>
          <w:rFonts w:ascii="Arial" w:cs="Arial" w:eastAsia="Arial" w:hAnsi="Arial"/>
          <w:color w:val="6B6B6B"/>
          <w:sz w:val="18"/>
          <w:szCs w:val="18"/>
        </w:rPr>
        <w:t xml:space="preserve">Pamela Zárate Martel  ·  Senior Product Designer</w:t>
      </w:r>
    </w:p>
    <w:p>
      <w:pPr>
        <w:spacing w:before="0" w:after="0"/>
      </w:pPr>
      <w:r>
        <w:rPr>
          <w:rFonts w:ascii="Arial" w:cs="Arial" w:eastAsia="Arial" w:hAnsi="Arial"/>
          <w:color w:val="5A4AB7"/>
          <w:sz w:val="18"/>
          <w:szCs w:val="18"/>
        </w:rPr>
        <w:t xml:space="preserve">p.zaratemartel@gmail.com  ·  zaratemartel.super.site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17T15:55:18Z" w:initials="C">
    <w:p w14:paraId="042E9B26" w14:textId="77777777">
      <w:r>
        <w:rPr>
          <w:rStyle w:val="CommentReference"/>
        </w:rPr>
        <w:annotationRef/>
      </w:r>
      <w:r>
        <w:rPr>
          <w:color w:val="000000"/>
          <w:sz w:val="20"/>
          <w:szCs w:val="20"/>
        </w:rPr>
        <w:t>IMAGE SUGGESTION: Photo or illustration of the kiosk in context — a self-service totem in a retail branch environment. You have field photos from the original case (Fotos.png). Shows the physical context and makes the problem tangible for international readers unfamiliar with Chilean retail branches.</w:t>
      </w:r>
    </w:p>
  </w:comment>
  <w:comment w:id="1" w:author="Claude" w:date="2026-03-17T15:55:18Z" w:initials="C">
    <w:p w14:paraId="5DD77B83" w14:textId="77777777">
      <w:r>
        <w:rPr>
          <w:rStyle w:val="CommentReference"/>
        </w:rPr>
        <w:annotationRef/>
      </w:r>
      <w:r>
        <w:rPr>
          <w:color w:val="000000"/>
          <w:sz w:val="20"/>
          <w:szCs w:val="20"/>
        </w:rPr>
        <w:t>IMAGE SUGGESTION: Radar chart of the expert usability analysis results — the 6 dimensions (ergonomics, accessibility, content and flows, layout and visual design, control, feedback and help) scored as a spider diagram. You have this from the original case (image_9.png). Very effective for showing the severity distribution at a glance.</w:t>
      </w:r>
    </w:p>
  </w:comment>
  <w:comment w:id="2" w:author="Claude" w:date="2026-03-17T15:55:19Z" w:initials="C">
    <w:p w14:paraId="3D533211" w14:textId="77777777">
      <w:r>
        <w:rPr>
          <w:rStyle w:val="CommentReference"/>
        </w:rPr>
        <w:annotationRef/>
      </w:r>
      <w:r>
        <w:rPr>
          <w:color w:val="000000"/>
          <w:sz w:val="20"/>
          <w:szCs w:val="20"/>
        </w:rPr>
        <w:t>IMAGE SUGGESTION: Verbatim coding example — a redacted comment from the NPS data with your coding annotations showing how you classified it as pain-focused vs improvement-focused, and which pain cluster it mapped to. You have an example from the original case (Frame_6.png). Demonstrates rigour in qualitative analysis.</w:t>
      </w:r>
    </w:p>
  </w:comment>
  <w:comment w:id="3" w:author="Claude" w:date="2026-03-17T15:55:19Z" w:initials="C">
    <w:p w14:paraId="05E819C5" w14:textId="77777777">
      <w:r>
        <w:rPr>
          <w:rStyle w:val="CommentReference"/>
        </w:rPr>
        <w:annotationRef/>
      </w:r>
      <w:r>
        <w:rPr>
          <w:color w:val="000000"/>
          <w:sz w:val="20"/>
          <w:szCs w:val="20"/>
        </w:rPr>
        <w:t>IMAGE SUGGESTION: Pain cluster summary chart — the 5 recurring problems with &gt;20 repetitions, shown as a ranked bar chart or bubble map with approximate frequency. You have this from the original case (Tipificacion_ppt.png and Tipificacion_problema_detalles.png). Critical for justifying the research-to-design decisions.</w:t>
      </w:r>
    </w:p>
  </w:comment>
  <w:comment w:id="4" w:author="Claude" w:date="2026-03-17T15:55:19Z" w:initials="C">
    <w:p w14:paraId="7CBFA92C" w14:textId="77777777">
      <w:r>
        <w:rPr>
          <w:rStyle w:val="CommentReference"/>
        </w:rPr>
        <w:annotationRef/>
      </w:r>
      <w:r>
        <w:rPr>
          <w:color w:val="000000"/>
          <w:sz w:val="20"/>
          <w:szCs w:val="20"/>
        </w:rPr>
        <w:t>IMAGE SUGGESTION: Map of the guerrilla test locations — the Santiago map showing the two branch locations and the distribution of users contacted. You have this from the original case (Mapa_comunas_2.png). Adds credibility to the in-context research methodology.</w:t>
      </w:r>
    </w:p>
  </w:comment>
  <w:comment w:id="5" w:author="Claude" w:date="2026-03-17T15:55:19Z" w:initials="C">
    <w:p w14:paraId="5F2D8DDB" w14:textId="77777777">
      <w:r>
        <w:rPr>
          <w:rStyle w:val="CommentReference"/>
        </w:rPr>
        <w:annotationRef/>
      </w:r>
      <w:r>
        <w:rPr>
          <w:color w:val="000000"/>
          <w:sz w:val="20"/>
          <w:szCs w:val="20"/>
        </w:rPr>
        <w:t>IMAGE SUGGESTION: Users performing guerrilla test tasks — field photos of real participants using the kiosk. You have these from the original case (Fotos.png). These images are powerful because they show research happening in the real world, not a lab.</w:t>
      </w:r>
    </w:p>
  </w:comment>
  <w:comment w:id="6" w:author="Claude" w:date="2026-03-17T15:55:20Z" w:initials="C">
    <w:p w14:paraId="1E78C29A" w14:textId="77777777">
      <w:r>
        <w:rPr>
          <w:rStyle w:val="CommentReference"/>
        </w:rPr>
        <w:annotationRef/>
      </w:r>
      <w:r>
        <w:rPr>
          <w:color w:val="000000"/>
          <w:sz w:val="20"/>
          <w:szCs w:val="20"/>
        </w:rPr>
        <w:t>IMAGE SUGGESTION: Before/after wireframe comparison for the home screen redesign — original screen vs proposed redesign side by side, with annotations pointing to the specific changes (labelling, hierarchy, touch targets). You have the wireframe from the original case (Frame_7.png).</w:t>
      </w:r>
    </w:p>
  </w:comment>
  <w:comment w:id="7" w:author="Claude" w:date="2026-03-17T15:55:20Z" w:initials="C">
    <w:p w14:paraId="033DC5B3" w14:textId="77777777">
      <w:r>
        <w:rPr>
          <w:rStyle w:val="CommentReference"/>
        </w:rPr>
        <w:annotationRef/>
      </w:r>
      <w:r>
        <w:rPr>
          <w:color w:val="000000"/>
          <w:sz w:val="20"/>
          <w:szCs w:val="20"/>
        </w:rPr>
        <w:t>IMAGE SUGGESTION: Feedback message redesign — the comparison between existing generic status messages and the proposed plain-language replacements. You have this from the original case (Frame_8.png). Makes the content strategy work visible, which is often underrepresented in UX portfolios.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E9B26" w15:done="0"/>
  <w15:commentEx w15:paraId="5DD77B83" w15:done="0"/>
  <w15:commentEx w15:paraId="3D533211" w15:done="0"/>
  <w15:commentEx w15:paraId="05E819C5" w15:done="0"/>
  <w15:commentEx w15:paraId="7CBFA92C" w15:done="0"/>
  <w15:commentEx w15:paraId="5F2D8DDB" w15:done="0"/>
  <w15:commentEx w15:paraId="1E78C29A" w15:done="0"/>
  <w15:commentEx w15:paraId="033DC5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8D5EC35" w16cex:dateUtc="2026-03-17T15:55:18Z"/>
  <w16cex:commentExtensible w16cex:durableId="7B1C1092" w16cex:dateUtc="2026-03-17T15:55:18Z"/>
  <w16cex:commentExtensible w16cex:durableId="78BA13C5" w16cex:dateUtc="2026-03-17T15:55:19Z"/>
  <w16cex:commentExtensible w16cex:durableId="5673F63C" w16cex:dateUtc="2026-03-17T15:55:19Z"/>
  <w16cex:commentExtensible w16cex:durableId="1DE7F94D" w16cex:dateUtc="2026-03-17T15:55:19Z"/>
  <w16cex:commentExtensible w16cex:durableId="389291A1" w16cex:dateUtc="2026-03-17T15:55:19Z"/>
  <w16cex:commentExtensible w16cex:durableId="257B9600" w16cex:dateUtc="2026-03-17T15:55:20Z"/>
  <w16cex:commentExtensible w16cex:durableId="6B7D9EE0" w16cex:dateUtc="2026-03-17T15:55: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E9B26" w16cid:durableId="38D5EC35"/>
  <w16cid:commentId w16cid:paraId="5DD77B83" w16cid:durableId="7B1C1092"/>
  <w16cid:commentId w16cid:paraId="3D533211" w16cid:durableId="78BA13C5"/>
  <w16cid:commentId w16cid:paraId="05E819C5" w16cid:durableId="5673F63C"/>
  <w16cid:commentId w16cid:paraId="7CBFA92C" w16cid:durableId="1DE7F94D"/>
  <w16cid:commentId w16cid:paraId="5F2D8DDB" w16cid:durableId="389291A1"/>
  <w16cid:commentId w16cid:paraId="1E78C29A" w16cid:durableId="257B9600"/>
  <w16cid:commentId w16cid:paraId="033DC5B3" w16cid:durableId="6B7D9E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40"/>
      <w:szCs w:val="40"/>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commentsExtended" Target="commentsExtended.xml"/><Relationship Id="rId8" Type="http://schemas.microsoft.com/office/2018/relationships/commentsExtensible" Target="commentsExtensible.xml"/><Relationship Id="rId9" Type="http://schemas.microsoft.com/office/2016/0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2026-03-17T15:34:54.137Z</dcterms:created>
  <dcterms:modified xsi:type="dcterms:W3CDTF">2026-03-17T15:34:54.138Z</dcterms:modified>
</cp:coreProperties>
</file>

<file path=docProps/custom.xml><?xml version="1.0" encoding="utf-8"?>
<Properties xmlns="http://schemas.openxmlformats.org/officeDocument/2006/custom-properties" xmlns:vt="http://schemas.openxmlformats.org/officeDocument/2006/docPropsVTypes"/>
</file>