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t xml:space="preserve"/>
      </w:r>
    </w:p>
    <w:p>
      <w:pPr>
        <w:spacing w:before="0" w:after="80"/>
      </w:pPr>
      <w:r>
        <w:rPr>
          <w:rFonts w:ascii="Arial" w:cs="Arial" w:eastAsia="Arial" w:hAnsi="Arial"/>
          <w:b/>
          <w:bCs/>
          <w:color w:val="E05A4A"/>
          <w:sz w:val="18"/>
          <w:szCs w:val="18"/>
        </w:rPr>
        <w:t xml:space="preserve">CASE STUDY</w:t>
      </w:r>
    </w:p>
    <w:p>
      <w:pPr>
        <w:spacing w:before="0" w:after="120"/>
      </w:pPr>
      <w:r>
        <w:rPr>
          <w:rFonts w:ascii="Arial" w:cs="Arial" w:eastAsia="Arial" w:hAnsi="Arial"/>
          <w:b/>
          <w:bCs/>
          <w:color w:val="1A1A1A"/>
          <w:sz w:val="44"/>
          <w:szCs w:val="44"/>
        </w:rPr>
        <w:t xml:space="preserve">From frustration to resolution: redesigning LATAM Airlines' Travel Voucher experience end-to-end</w:t>
      </w:r>
    </w:p>
    <w:p>
      <w:pPr>
        <w:spacing w:before="0" w:after="200"/>
      </w:pPr>
      <w:r>
        <w:rPr>
          <w:rFonts w:ascii="Arial" w:cs="Arial" w:eastAsia="Arial" w:hAnsi="Arial"/>
          <w:color w:val="6B6B6B"/>
          <w:sz w:val="22"/>
          <w:szCs w:val="22"/>
        </w:rPr>
        <w:t xml:space="preserve">How omnichannel product thinking — spanning physical documents, digital flows, email and Contact Center — increased digital redemption by 165% and raised user satisfaction from 2.1 to 4.6.</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DF0EF"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End-to-end Product Design</w:t>
            </w:r>
          </w:p>
        </w:tc>
        <w:tc>
          <w:tcPr>
            <w:tcW w:type="dxa" w:w="1872"/>
            <w:tcBorders>
              <w:top w:val="none" w:color="FFFFFF" w:sz="0"/>
              <w:left w:val="none" w:color="FFFFFF" w:sz="0"/>
              <w:bottom w:val="none" w:color="FFFFFF" w:sz="0"/>
              <w:right w:val="none" w:color="FFFFFF" w:sz="0"/>
            </w:tcBorders>
            <w:shd w:fill="FDF0EF"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Omnichannel UX</w:t>
            </w:r>
          </w:p>
        </w:tc>
        <w:tc>
          <w:tcPr>
            <w:tcW w:type="dxa" w:w="1872"/>
            <w:tcBorders>
              <w:top w:val="none" w:color="FFFFFF" w:sz="0"/>
              <w:left w:val="none" w:color="FFFFFF" w:sz="0"/>
              <w:bottom w:val="none" w:color="FFFFFF" w:sz="0"/>
              <w:right w:val="none" w:color="FFFFFF" w:sz="0"/>
            </w:tcBorders>
            <w:shd w:fill="FDF0EF"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Service Design</w:t>
            </w:r>
          </w:p>
        </w:tc>
        <w:tc>
          <w:tcPr>
            <w:tcW w:type="dxa" w:w="1872"/>
            <w:tcBorders>
              <w:top w:val="none" w:color="FFFFFF" w:sz="0"/>
              <w:left w:val="none" w:color="FFFFFF" w:sz="0"/>
              <w:bottom w:val="none" w:color="FFFFFF" w:sz="0"/>
              <w:right w:val="none" w:color="FFFFFF" w:sz="0"/>
            </w:tcBorders>
            <w:shd w:fill="FDF0EF"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UX Research</w:t>
            </w:r>
          </w:p>
        </w:tc>
        <w:tc>
          <w:tcPr>
            <w:tcW w:type="dxa" w:w="1872"/>
            <w:tcBorders>
              <w:top w:val="none" w:color="FFFFFF" w:sz="0"/>
              <w:left w:val="none" w:color="FFFFFF" w:sz="0"/>
              <w:bottom w:val="none" w:color="FFFFFF" w:sz="0"/>
              <w:right w:val="none" w:color="FFFFFF" w:sz="0"/>
            </w:tcBorders>
            <w:shd w:fill="FDF0EF"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Content Strategy</w:t>
            </w:r>
          </w:p>
        </w:tc>
      </w:tr>
    </w:tbl>
    <w:p>
      <w:pPr>
        <w:spacing w:before="80" w:after="0"/>
      </w:pPr>
      <w:r>
        <w:t xml:space="preserve"/>
      </w:r>
    </w:p>
    <w:p>
      <w:pPr>
        <w:spacing w:before="0" w:after="60"/>
      </w:pPr>
      <w:r>
        <w:rPr>
          <w:rFonts w:ascii="Arial" w:cs="Arial" w:eastAsia="Arial" w:hAnsi="Arial"/>
          <w:b/>
          <w:bCs/>
          <w:color w:val="7B1A10"/>
          <w:sz w:val="20"/>
          <w:szCs w:val="20"/>
        </w:rPr>
        <w:t xml:space="preserve">Client: </w:t>
      </w:r>
      <w:r>
        <w:rPr>
          <w:rFonts w:ascii="Arial" w:cs="Arial" w:eastAsia="Arial" w:hAnsi="Arial"/>
          <w:color w:val="1A1A1A"/>
          <w:sz w:val="20"/>
          <w:szCs w:val="20"/>
        </w:rPr>
        <w:t xml:space="preserve">LATAM Airlines</w:t>
      </w:r>
    </w:p>
    <w:p>
      <w:pPr>
        <w:spacing w:before="0" w:after="60"/>
      </w:pPr>
      <w:r>
        <w:rPr>
          <w:rFonts w:ascii="Arial" w:cs="Arial" w:eastAsia="Arial" w:hAnsi="Arial"/>
          <w:b/>
          <w:bCs/>
          <w:color w:val="7B1A10"/>
          <w:sz w:val="20"/>
          <w:szCs w:val="20"/>
        </w:rPr>
        <w:t xml:space="preserve">Year: </w:t>
      </w:r>
      <w:r>
        <w:rPr>
          <w:rFonts w:ascii="Arial" w:cs="Arial" w:eastAsia="Arial" w:hAnsi="Arial"/>
          <w:color w:val="1A1A1A"/>
          <w:sz w:val="20"/>
          <w:szCs w:val="20"/>
        </w:rPr>
        <w:t xml:space="preserve">2017–2019  |  </w:t>
      </w:r>
      <w:r>
        <w:rPr>
          <w:rFonts w:ascii="Arial" w:cs="Arial" w:eastAsia="Arial" w:hAnsi="Arial"/>
          <w:b/>
          <w:bCs/>
          <w:color w:val="7B1A10"/>
          <w:sz w:val="20"/>
          <w:szCs w:val="20"/>
        </w:rPr>
        <w:t xml:space="preserve">Role: </w:t>
      </w:r>
      <w:r>
        <w:rPr>
          <w:rFonts w:ascii="Arial" w:cs="Arial" w:eastAsia="Arial" w:hAnsi="Arial"/>
          <w:color w:val="1A1A1A"/>
          <w:sz w:val="20"/>
          <w:szCs w:val="20"/>
        </w:rPr>
        <w:t xml:space="preserve">UX Content Strategist &amp; Mentor  |  </w:t>
      </w:r>
      <w:r>
        <w:rPr>
          <w:rFonts w:ascii="Arial" w:cs="Arial" w:eastAsia="Arial" w:hAnsi="Arial"/>
          <w:b/>
          <w:bCs/>
          <w:color w:val="7B1A10"/>
          <w:sz w:val="20"/>
          <w:szCs w:val="20"/>
        </w:rPr>
        <w:t xml:space="preserve">Tools: </w:t>
      </w:r>
      <w:r>
        <w:rPr>
          <w:rFonts w:ascii="Arial" w:cs="Arial" w:eastAsia="Arial" w:hAnsi="Arial"/>
          <w:color w:val="1A1A1A"/>
          <w:sz w:val="20"/>
          <w:szCs w:val="20"/>
        </w:rPr>
        <w:t xml:space="preserve">Figma, Hotjar, Google Analytics, in-context user testing</w:t>
      </w:r>
    </w:p>
    <w:p>
      <w:pPr>
        <w:spacing w:before="0" w:after="60"/>
      </w:pPr>
      <w:r>
        <w:rPr>
          <w:rFonts w:ascii="Arial" w:cs="Arial" w:eastAsia="Arial" w:hAnsi="Arial"/>
          <w:b/>
          <w:bCs/>
          <w:color w:val="7B1A10"/>
          <w:sz w:val="20"/>
          <w:szCs w:val="20"/>
        </w:rPr>
        <w:t xml:space="preserve">Presented at: </w:t>
      </w:r>
      <w:r>
        <w:rPr>
          <w:rFonts w:ascii="Arial" w:cs="Arial" w:eastAsia="Arial" w:hAnsi="Arial"/>
          <w:color w:val="1A1A1A"/>
          <w:sz w:val="20"/>
          <w:szCs w:val="20"/>
        </w:rPr>
        <w:t xml:space="preserve">Interaction Latin America 2019, Colombia</w:t>
      </w:r>
    </w:p>
    <w:p>
      <w:pPr>
        <w:pBdr>
          <w:bottom w:val="single" w:color="DDDDDD" w:sz="2" w:space="1"/>
        </w:pBdr>
        <w:spacing w:before="200" w:after="20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none" w:color="FFFFFF" w:sz="0"/>
              <w:bottom w:val="none" w:color="FFFFFF" w:sz="0"/>
              <w:right w:val="none" w:color="FFFFFF" w:sz="0"/>
            </w:tcBorders>
            <w:shd w:fill="FDF0EF" w:val="clear"/>
            <w:tcMar>
              <w:top w:type="dxa" w:w="160"/>
              <w:left w:type="dxa" w:w="180"/>
              <w:bottom w:type="dxa" w:w="160"/>
              <w:right w:type="dxa" w:w="180"/>
            </w:tcMar>
          </w:tcPr>
          <w:p>
            <w:pPr>
              <w:jc w:val="center"/>
            </w:pPr>
            <w:r>
              <w:rPr>
                <w:rFonts w:ascii="Arial" w:cs="Arial" w:eastAsia="Arial" w:hAnsi="Arial"/>
                <w:b/>
                <w:bCs/>
                <w:color w:val="C0392B"/>
                <w:sz w:val="52"/>
                <w:szCs w:val="52"/>
              </w:rPr>
              <w:t xml:space="preserve">+165%</w:t>
            </w:r>
          </w:p>
          <w:p>
            <w:pPr>
              <w:spacing w:before="40"/>
              <w:jc w:val="center"/>
            </w:pPr>
            <w:r>
              <w:rPr>
                <w:rFonts w:ascii="Arial" w:cs="Arial" w:eastAsia="Arial" w:hAnsi="Arial"/>
                <w:color w:val="6B6B6B"/>
                <w:sz w:val="18"/>
                <w:szCs w:val="18"/>
              </w:rPr>
              <w:t xml:space="preserve">Digital redemption increase</w:t>
            </w:r>
          </w:p>
        </w:tc>
        <w:tc>
          <w:tcPr>
            <w:tcW w:type="dxa" w:w="2340"/>
            <w:tcBorders>
              <w:top w:val="single" w:color="C0392B" w:sz="4"/>
              <w:left w:val="none" w:color="FFFFFF" w:sz="0"/>
              <w:bottom w:val="none" w:color="FFFFFF" w:sz="0"/>
              <w:right w:val="none" w:color="FFFFFF" w:sz="0"/>
            </w:tcBorders>
            <w:shd w:fill="FDF0EF" w:val="clear"/>
            <w:tcMar>
              <w:top w:type="dxa" w:w="160"/>
              <w:left w:type="dxa" w:w="180"/>
              <w:bottom w:type="dxa" w:w="160"/>
              <w:right w:type="dxa" w:w="180"/>
            </w:tcMar>
          </w:tcPr>
          <w:p>
            <w:pPr>
              <w:jc w:val="center"/>
            </w:pPr>
            <w:r>
              <w:rPr>
                <w:rFonts w:ascii="Arial" w:cs="Arial" w:eastAsia="Arial" w:hAnsi="Arial"/>
                <w:b/>
                <w:bCs/>
                <w:color w:val="C0392B"/>
                <w:sz w:val="52"/>
                <w:szCs w:val="52"/>
              </w:rPr>
              <w:t xml:space="preserve">2.1 → 4.6</w:t>
            </w:r>
          </w:p>
          <w:p>
            <w:pPr>
              <w:spacing w:before="40"/>
              <w:jc w:val="center"/>
            </w:pPr>
            <w:r>
              <w:rPr>
                <w:rFonts w:ascii="Arial" w:cs="Arial" w:eastAsia="Arial" w:hAnsi="Arial"/>
                <w:color w:val="6B6B6B"/>
                <w:sz w:val="18"/>
                <w:szCs w:val="18"/>
              </w:rPr>
              <w:t xml:space="preserve">Satisfaction score</w:t>
            </w:r>
          </w:p>
        </w:tc>
        <w:tc>
          <w:tcPr>
            <w:tcW w:type="dxa" w:w="2340"/>
            <w:tcBorders>
              <w:top w:val="single" w:color="C0392B" w:sz="4"/>
              <w:left w:val="none" w:color="FFFFFF" w:sz="0"/>
              <w:bottom w:val="none" w:color="FFFFFF" w:sz="0"/>
              <w:right w:val="none" w:color="FFFFFF" w:sz="0"/>
            </w:tcBorders>
            <w:shd w:fill="FDF0EF" w:val="clear"/>
            <w:tcMar>
              <w:top w:type="dxa" w:w="160"/>
              <w:left w:type="dxa" w:w="180"/>
              <w:bottom w:type="dxa" w:w="160"/>
              <w:right w:type="dxa" w:w="180"/>
            </w:tcMar>
          </w:tcPr>
          <w:p>
            <w:pPr>
              <w:jc w:val="center"/>
            </w:pPr>
            <w:r>
              <w:rPr>
                <w:rFonts w:ascii="Arial" w:cs="Arial" w:eastAsia="Arial" w:hAnsi="Arial"/>
                <w:b/>
                <w:bCs/>
                <w:color w:val="C0392B"/>
                <w:sz w:val="52"/>
                <w:szCs w:val="52"/>
              </w:rPr>
              <w:t xml:space="preserve">−18.5%</w:t>
            </w:r>
          </w:p>
          <w:p>
            <w:pPr>
              <w:spacing w:before="40"/>
              <w:jc w:val="center"/>
            </w:pPr>
            <w:r>
              <w:rPr>
                <w:rFonts w:ascii="Arial" w:cs="Arial" w:eastAsia="Arial" w:hAnsi="Arial"/>
                <w:color w:val="6B6B6B"/>
                <w:sz w:val="18"/>
                <w:szCs w:val="18"/>
              </w:rPr>
              <w:t xml:space="preserve">Contact Center calls</w:t>
            </w:r>
          </w:p>
        </w:tc>
        <w:tc>
          <w:tcPr>
            <w:tcW w:type="dxa" w:w="2340"/>
            <w:tcBorders>
              <w:top w:val="single" w:color="C0392B" w:sz="4"/>
              <w:left w:val="none" w:color="FFFFFF" w:sz="0"/>
              <w:bottom w:val="none" w:color="FFFFFF" w:sz="0"/>
              <w:right w:val="none" w:color="FFFFFF" w:sz="0"/>
            </w:tcBorders>
            <w:shd w:fill="FDF0EF" w:val="clear"/>
            <w:tcMar>
              <w:top w:type="dxa" w:w="160"/>
              <w:left w:type="dxa" w:w="180"/>
              <w:bottom w:type="dxa" w:w="160"/>
              <w:right w:type="dxa" w:w="180"/>
            </w:tcMar>
          </w:tcPr>
          <w:p>
            <w:pPr>
              <w:jc w:val="center"/>
            </w:pPr>
            <w:r>
              <w:rPr>
                <w:rFonts w:ascii="Arial" w:cs="Arial" w:eastAsia="Arial" w:hAnsi="Arial"/>
                <w:b/>
                <w:bCs/>
                <w:color w:val="C0392B"/>
                <w:sz w:val="52"/>
                <w:szCs w:val="52"/>
              </w:rPr>
              <w:t xml:space="preserve">5:40s</w:t>
            </w:r>
          </w:p>
          <w:p>
            <w:pPr>
              <w:spacing w:before="40"/>
              <w:jc w:val="center"/>
            </w:pPr>
            <w:r>
              <w:rPr>
                <w:rFonts w:ascii="Arial" w:cs="Arial" w:eastAsia="Arial" w:hAnsi="Arial"/>
                <w:color w:val="6B6B6B"/>
                <w:sz w:val="18"/>
                <w:szCs w:val="18"/>
              </w:rPr>
              <w:t xml:space="preserve">Avg. completion time (was 30 min)</w:t>
            </w:r>
          </w:p>
        </w:tc>
      </w:tr>
    </w:tbl>
    <w:p>
      <w:pPr>
        <w:spacing w:before="160" w:after="0"/>
      </w:pPr>
      <w:r>
        <w:t xml:space="preserve"/>
      </w:r>
    </w:p>
    <w:p>
      <w:pPr>
        <w:pStyle w:val="Heading2"/>
        <w:pBdr>
          <w:bottom w:val="single" w:color="C0392B" w:sz="4" w:space="4"/>
        </w:pBdr>
        <w:spacing w:before="320" w:after="120"/>
      </w:pPr>
      <w:r>
        <w:rPr>
          <w:rFonts w:ascii="Arial" w:cs="Arial" w:eastAsia="Arial" w:hAnsi="Arial"/>
          <w:b/>
          <w:bCs/>
          <w:color w:val="C0392B"/>
          <w:sz w:val="26"/>
          <w:szCs w:val="26"/>
        </w:rPr>
        <w:t xml:space="preserve">01 — Context and problem</w:t>
      </w:r>
    </w:p>
    <w:p>
      <w:pPr>
        <w:spacing w:before="80" w:after="80" w:line="320"/>
      </w:pPr>
      <w:commentRangeStart w:id="0"/>
      <w:r>
        <w:rPr>
          <w:rFonts w:ascii="Arial" w:cs="Arial" w:eastAsia="Arial" w:hAnsi="Arial"/>
          <w:color w:val="1A1A1A"/>
          <w:sz w:val="22"/>
          <w:szCs w:val="22"/>
        </w:rPr>
        <w:t xml:space="preserve">LATAM Airlines issues Travel Vouchers to passengers affected by flight contingencies — delays, cancellations, diversions. The voucher entitles passengers to a bank transfer reimbursement. On paper, a clean resolution to a stressful situation.</w:t>
      </w:r>
      <w:commentRangeEnd w:id="0"/>
      <w:r>
        <w:rPr>
          <w:rStyle w:val="CommentReference"/>
        </w:rPr>
        <w:commentReference w:id="0"/>
      </w:r>
    </w:p>
    <w:p>
      <w:pPr>
        <w:spacing w:before="80" w:after="0"/>
      </w:pPr>
      <w:r>
        <w:t xml:space="preserve"/>
      </w:r>
    </w:p>
    <w:p>
      <w:pPr>
        <w:spacing w:before="80" w:after="80" w:line="320"/>
      </w:pPr>
      <w:r>
        <w:rPr>
          <w:rFonts w:ascii="Arial" w:cs="Arial" w:eastAsia="Arial" w:hAnsi="Arial"/>
          <w:color w:val="1A1A1A"/>
          <w:sz w:val="22"/>
          <w:szCs w:val="22"/>
        </w:rPr>
        <w:t xml:space="preserve">In practice, the experience was broken at every level. Of all vouchers issued monthly, only 54% were ever redeemed. And of those, 85% required calling the Contact Center — meaning passengers had to relive a stressful airport moment, wait on hold, and depend entirely on a third party to complete a process that should have been self-service.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spacing w:after="80"/>
            </w:pPr>
            <w:r>
              <w:rPr>
                <w:rFonts w:ascii="Arial" w:cs="Arial" w:eastAsia="Arial" w:hAnsi="Arial"/>
                <w:b/>
                <w:bCs/>
                <w:color w:val="7B1A10"/>
                <w:sz w:val="20"/>
                <w:szCs w:val="20"/>
              </w:rPr>
              <w:t xml:space="preserve">Business problem</w:t>
            </w:r>
          </w:p>
          <w:p>
            <w:pPr>
              <w:pStyle w:val="ListParagraph"/>
              <w:numPr>
                <w:ilvl w:val="0"/>
                <w:numId w:val="2"/>
              </w:numPr>
              <w:spacing w:before="40" w:after="40"/>
            </w:pPr>
            <w:r>
              <w:rPr>
                <w:rFonts w:ascii="Arial" w:cs="Arial" w:eastAsia="Arial" w:hAnsi="Arial"/>
                <w:color w:val="1A1A1A"/>
                <w:sz w:val="20"/>
                <w:szCs w:val="20"/>
              </w:rPr>
              <w:t xml:space="preserve">Only 54% of issued vouchers redeemed</w:t>
            </w:r>
          </w:p>
          <w:p>
            <w:pPr>
              <w:pStyle w:val="ListParagraph"/>
              <w:numPr>
                <w:ilvl w:val="0"/>
                <w:numId w:val="2"/>
              </w:numPr>
              <w:spacing w:before="40" w:after="40"/>
            </w:pPr>
            <w:r>
              <w:rPr>
                <w:rFonts w:ascii="Arial" w:cs="Arial" w:eastAsia="Arial" w:hAnsi="Arial"/>
                <w:color w:val="1A1A1A"/>
                <w:sz w:val="20"/>
                <w:szCs w:val="20"/>
              </w:rPr>
              <w:t xml:space="preserve">85% of redemptions via Contact Center (high cost)</w:t>
            </w:r>
          </w:p>
          <w:p>
            <w:pPr>
              <w:pStyle w:val="ListParagraph"/>
              <w:numPr>
                <w:ilvl w:val="0"/>
                <w:numId w:val="2"/>
              </w:numPr>
              <w:spacing w:before="40" w:after="40"/>
            </w:pPr>
            <w:r>
              <w:rPr>
                <w:rFonts w:ascii="Arial" w:cs="Arial" w:eastAsia="Arial" w:hAnsi="Arial"/>
                <w:color w:val="1A1A1A"/>
                <w:sz w:val="20"/>
                <w:szCs w:val="20"/>
              </w:rPr>
              <w:t xml:space="preserve">15% online redemption rate — far below target</w:t>
            </w:r>
          </w:p>
          <w:p>
            <w:pPr>
              <w:pStyle w:val="ListParagraph"/>
              <w:numPr>
                <w:ilvl w:val="0"/>
                <w:numId w:val="2"/>
              </w:numPr>
              <w:spacing w:before="40" w:after="40"/>
            </w:pPr>
            <w:r>
              <w:rPr>
                <w:rFonts w:ascii="Arial" w:cs="Arial" w:eastAsia="Arial" w:hAnsi="Arial"/>
                <w:color w:val="1A1A1A"/>
                <w:sz w:val="20"/>
                <w:szCs w:val="20"/>
              </w:rPr>
              <w:t xml:space="preserve">Low satisfaction scores dragging brand perception</w:t>
            </w:r>
          </w:p>
          <w:p>
            <w:pPr>
              <w:pStyle w:val="ListParagraph"/>
              <w:numPr>
                <w:ilvl w:val="0"/>
                <w:numId w:val="2"/>
              </w:numPr>
              <w:spacing w:before="40" w:after="40"/>
            </w:pPr>
            <w:r>
              <w:rPr>
                <w:rFonts w:ascii="Arial" w:cs="Arial" w:eastAsia="Arial" w:hAnsi="Arial"/>
                <w:color w:val="1A1A1A"/>
                <w:sz w:val="20"/>
                <w:szCs w:val="20"/>
              </w:rPr>
              <w:t xml:space="preserve">No visibility into why digital redemption was failing</w:t>
            </w:r>
          </w:p>
        </w:tc>
        <w:tc>
          <w:tcPr>
            <w:tcW w:type="dxa" w:w="4680"/>
            <w:tcBorders>
              <w:top w:val="single" w:color="DDDDDD" w:sz="1"/>
              <w:left w:val="single" w:color="DDDDDD" w:sz="1"/>
              <w:bottom w:val="single" w:color="DDDDDD" w:sz="1"/>
              <w:right w:val="single" w:color="DDDDDD" w:sz="1"/>
            </w:tcBorders>
            <w:shd w:fill="FDF0EF" w:val="clear"/>
            <w:tcMar>
              <w:top w:type="dxa" w:w="140"/>
              <w:left w:type="dxa" w:w="160"/>
              <w:bottom w:type="dxa" w:w="140"/>
              <w:right w:type="dxa" w:w="160"/>
            </w:tcMar>
          </w:tcPr>
          <w:p>
            <w:pPr>
              <w:spacing w:after="80"/>
            </w:pPr>
            <w:r>
              <w:rPr>
                <w:rFonts w:ascii="Arial" w:cs="Arial" w:eastAsia="Arial" w:hAnsi="Arial"/>
                <w:b/>
                <w:bCs/>
                <w:color w:val="7B1A10"/>
                <w:sz w:val="20"/>
                <w:szCs w:val="20"/>
              </w:rPr>
              <w:t xml:space="preserve">Human problem</w:t>
            </w:r>
          </w:p>
          <w:p>
            <w:pPr>
              <w:pStyle w:val="ListParagraph"/>
              <w:numPr>
                <w:ilvl w:val="0"/>
                <w:numId w:val="2"/>
              </w:numPr>
              <w:spacing w:before="40" w:after="40"/>
            </w:pPr>
            <w:r>
              <w:rPr>
                <w:rFonts w:ascii="Arial" w:cs="Arial" w:eastAsia="Arial" w:hAnsi="Arial"/>
                <w:color w:val="1A1A1A"/>
                <w:sz w:val="20"/>
                <w:szCs w:val="20"/>
              </w:rPr>
              <w:t xml:space="preserve">Passengers already frustrated by a flight disruption</w:t>
            </w:r>
          </w:p>
          <w:p>
            <w:pPr>
              <w:pStyle w:val="ListParagraph"/>
              <w:numPr>
                <w:ilvl w:val="0"/>
                <w:numId w:val="2"/>
              </w:numPr>
              <w:spacing w:before="40" w:after="40"/>
            </w:pPr>
            <w:r>
              <w:rPr>
                <w:rFonts w:ascii="Arial" w:cs="Arial" w:eastAsia="Arial" w:hAnsi="Arial"/>
                <w:color w:val="1A1A1A"/>
                <w:sz w:val="20"/>
                <w:szCs w:val="20"/>
              </w:rPr>
              <w:t xml:space="preserve">Physical document had unclear number format — hard to enter digitally</w:t>
            </w:r>
          </w:p>
          <w:p>
            <w:pPr>
              <w:pStyle w:val="ListParagraph"/>
              <w:numPr>
                <w:ilvl w:val="0"/>
                <w:numId w:val="2"/>
              </w:numPr>
              <w:spacing w:before="40" w:after="40"/>
            </w:pPr>
            <w:r>
              <w:rPr>
                <w:rFonts w:ascii="Arial" w:cs="Arial" w:eastAsia="Arial" w:hAnsi="Arial"/>
                <w:color w:val="1A1A1A"/>
                <w:sz w:val="20"/>
                <w:szCs w:val="20"/>
              </w:rPr>
              <w:t xml:space="preserve">No guidance on what 'Travel Voucher' meant or where to find it online</w:t>
            </w:r>
          </w:p>
          <w:p>
            <w:pPr>
              <w:pStyle w:val="ListParagraph"/>
              <w:numPr>
                <w:ilvl w:val="0"/>
                <w:numId w:val="2"/>
              </w:numPr>
              <w:spacing w:before="40" w:after="40"/>
            </w:pPr>
            <w:r>
              <w:rPr>
                <w:rFonts w:ascii="Arial" w:cs="Arial" w:eastAsia="Arial" w:hAnsi="Arial"/>
                <w:color w:val="1A1A1A"/>
                <w:sz w:val="20"/>
                <w:szCs w:val="20"/>
              </w:rPr>
              <w:t xml:space="preserve">Process differed by country, bank and language with no clear instruction</w:t>
            </w:r>
          </w:p>
          <w:p>
            <w:pPr>
              <w:pStyle w:val="ListParagraph"/>
              <w:numPr>
                <w:ilvl w:val="0"/>
                <w:numId w:val="2"/>
              </w:numPr>
              <w:spacing w:before="40" w:after="40"/>
            </w:pPr>
            <w:r>
              <w:rPr>
                <w:rFonts w:ascii="Arial" w:cs="Arial" w:eastAsia="Arial" w:hAnsi="Arial"/>
                <w:color w:val="1A1A1A"/>
                <w:sz w:val="20"/>
                <w:szCs w:val="20"/>
              </w:rPr>
              <w:t xml:space="preserve">Users felt abandoned after the airport — no follow-up, no status visibility</w:t>
            </w:r>
          </w:p>
        </w:tc>
      </w:tr>
    </w:tbl>
    <w:p>
      <w:pPr>
        <w:spacing w:before="160" w:after="0"/>
      </w:pPr>
      <w:r>
        <w:t xml:space="preserve"/>
      </w:r>
    </w:p>
    <w:p>
      <w:pPr>
        <w:pStyle w:val="Heading2"/>
        <w:pBdr>
          <w:bottom w:val="single" w:color="C0392B" w:sz="4" w:space="4"/>
        </w:pBdr>
        <w:spacing w:before="320" w:after="120"/>
      </w:pPr>
      <w:r>
        <w:rPr>
          <w:rFonts w:ascii="Arial" w:cs="Arial" w:eastAsia="Arial" w:hAnsi="Arial"/>
          <w:b/>
          <w:bCs/>
          <w:color w:val="C0392B"/>
          <w:sz w:val="26"/>
          <w:szCs w:val="26"/>
        </w:rPr>
        <w:t xml:space="preserve">02 — My role and scope</w:t>
      </w:r>
    </w:p>
    <w:p>
      <w:pPr>
        <w:spacing w:before="80" w:after="80" w:line="320"/>
      </w:pPr>
      <w:r>
        <w:rPr>
          <w:rFonts w:ascii="Arial" w:cs="Arial" w:eastAsia="Arial" w:hAnsi="Arial"/>
          <w:color w:val="1A1A1A"/>
          <w:sz w:val="22"/>
          <w:szCs w:val="22"/>
        </w:rPr>
        <w:t xml:space="preserve">I owned the end-to-end design and strategy for the new digital Travel Voucher service — from initial research through to global launch across 24 countries and 6 languages. This meant working across the full product surface: the digital redemption flow, the physical voucher document, the transactional email system, and the airport agent communication.</w:t>
      </w:r>
    </w:p>
    <w:p>
      <w:pPr>
        <w:spacing w:before="80" w:after="0"/>
      </w:pPr>
      <w:r>
        <w:t xml:space="preserve"/>
      </w:r>
    </w:p>
    <w:p>
      <w:pPr>
        <w:spacing w:before="80" w:after="80" w:line="320"/>
      </w:pPr>
      <w:r>
        <w:rPr>
          <w:rFonts w:ascii="Arial" w:cs="Arial" w:eastAsia="Arial" w:hAnsi="Arial"/>
          <w:color w:val="1A1A1A"/>
          <w:sz w:val="22"/>
          <w:szCs w:val="22"/>
        </w:rPr>
        <w:t xml:space="preserve">This was not a screen redesign. It was a service design problem that required intervening at every touchpoint where the experience was breaking down.</w:t>
      </w:r>
    </w:p>
    <w:p>
      <w:pPr>
        <w:spacing w:before="160" w:after="0"/>
      </w:pPr>
      <w:r>
        <w:t xml:space="preserve"/>
      </w:r>
    </w:p>
    <w:p>
      <w:pPr>
        <w:pStyle w:val="Heading2"/>
        <w:pBdr>
          <w:bottom w:val="single" w:color="C0392B" w:sz="4" w:space="4"/>
        </w:pBdr>
        <w:spacing w:before="320" w:after="120"/>
      </w:pPr>
      <w:r>
        <w:rPr>
          <w:rFonts w:ascii="Arial" w:cs="Arial" w:eastAsia="Arial" w:hAnsi="Arial"/>
          <w:b/>
          <w:bCs/>
          <w:color w:val="C0392B"/>
          <w:sz w:val="26"/>
          <w:szCs w:val="26"/>
        </w:rPr>
        <w:t xml:space="preserve">03 — Research and discovery</w:t>
      </w:r>
    </w:p>
    <w:p>
      <w:pPr>
        <w:spacing w:before="200" w:after="80"/>
      </w:pPr>
      <w:r>
        <w:rPr>
          <w:rFonts w:ascii="Arial" w:cs="Arial" w:eastAsia="Arial" w:hAnsi="Arial"/>
          <w:b/>
          <w:bCs/>
          <w:color w:val="7B1A10"/>
          <w:sz w:val="22"/>
          <w:szCs w:val="22"/>
        </w:rPr>
        <w:t xml:space="preserve">Going to where the problem actually happens</w:t>
      </w:r>
    </w:p>
    <w:p>
      <w:pPr>
        <w:spacing w:before="80" w:after="80" w:line="320"/>
      </w:pPr>
      <w:r>
        <w:rPr>
          <w:rFonts w:ascii="Arial" w:cs="Arial" w:eastAsia="Arial" w:hAnsi="Arial"/>
          <w:color w:val="1A1A1A"/>
          <w:sz w:val="22"/>
          <w:szCs w:val="22"/>
        </w:rPr>
        <w:t xml:space="preserve">To understand the full scope of the problem, I conducted field research at Guarulhos International Airport in São Paulo — the busiest LATAM hub — during an active contingency. This gave me direct access to the moment of voucher delivery: the emotional state of affected passengers, what information agents actually communicated, and how passengers interacted with the physical document they received.</w:t>
      </w:r>
    </w:p>
    <w:p>
      <w:pPr>
        <w:spacing w:before="80" w:after="0"/>
      </w:pPr>
      <w:r>
        <w:t xml:space="preserve"/>
      </w:r>
    </w:p>
    <w:p>
      <w:pPr>
        <w:spacing w:before="80" w:after="80" w:line="320"/>
      </w:pPr>
      <w:r>
        <w:rPr>
          <w:rFonts w:ascii="Arial" w:cs="Arial" w:eastAsia="Arial" w:hAnsi="Arial"/>
          <w:color w:val="1A1A1A"/>
          <w:sz w:val="22"/>
          <w:szCs w:val="22"/>
        </w:rPr>
        <w:t xml:space="preserve">Observing the handoff in real conditions revealed something that no analytics dashboard would have shown: the most critical failure happened before any digital interaction. Passengers were receiving a physical document they didn't understand, with a 14-digit redemption number printed in a format that was nearly impossible to transcribe correctly on a mobile keyboard.</w:t>
      </w:r>
    </w:p>
    <w:p>
      <w:pPr>
        <w:spacing w:before="80" w:after="0"/>
      </w:pPr>
      <w:r>
        <w:t xml:space="preserve"/>
      </w:r>
    </w:p>
    <w:p>
      <w:pPr>
        <w:pBdr>
          <w:left w:val="single" w:color="C0392B" w:sz="12" w:space="12"/>
        </w:pBdr>
        <w:spacing w:before="160" w:after="160"/>
        <w:ind w:left="560"/>
      </w:pPr>
      <w:r>
        <w:rPr>
          <w:rFonts w:ascii="Arial" w:cs="Arial" w:eastAsia="Arial" w:hAnsi="Arial"/>
          <w:color w:val="6B6B6B"/>
          <w:sz w:val="22"/>
          <w:szCs w:val="22"/>
        </w:rPr>
        <w:t xml:space="preserve">The digital flow wasn't failing because of bad UX. It was failing because the physical artefact that triggered the digital flow was broken.</w:t>
      </w:r>
    </w:p>
    <w:p>
      <w:pPr>
        <w:spacing w:before="80" w:after="0"/>
      </w:pPr>
      <w:r>
        <w:t xml:space="preserve"/>
      </w:r>
    </w:p>
    <w:p>
      <w:pPr>
        <w:spacing w:before="200" w:after="80"/>
      </w:pPr>
      <w:commentRangeStart w:id="1"/>
      <w:r>
        <w:rPr>
          <w:rFonts w:ascii="Arial" w:cs="Arial" w:eastAsia="Arial" w:hAnsi="Arial"/>
          <w:b/>
          <w:bCs/>
          <w:color w:val="7B1A10"/>
          <w:sz w:val="22"/>
          <w:szCs w:val="22"/>
        </w:rPr>
        <w:t xml:space="preserve">Depth interviews and journey mapping</w:t>
      </w:r>
      <w:commentRangeEnd w:id="1"/>
      <w:r>
        <w:rPr>
          <w:rStyle w:val="CommentReference"/>
        </w:rPr>
        <w:commentReference w:id="1"/>
      </w:r>
    </w:p>
    <w:p>
      <w:pPr>
        <w:spacing w:before="80" w:after="80" w:line="320"/>
      </w:pPr>
      <w:commentRangeStart w:id="2"/>
      <w:r>
        <w:rPr>
          <w:rFonts w:ascii="Arial" w:cs="Arial" w:eastAsia="Arial" w:hAnsi="Arial"/>
          <w:color w:val="1A1A1A"/>
          <w:sz w:val="22"/>
          <w:szCs w:val="22"/>
        </w:rPr>
        <w:t xml:space="preserve">I conducted 12 in-depth interviews with passengers who had received a Travel Voucher between March and September 2018, spanning multiple nationalities and redemption outcomes. The goal was to reconstruct the complete emotional and functional journey from contingency to resolution — including the cases where resolution never came.</w:t>
      </w:r>
      <w:commentRangeEnd w:id="2"/>
      <w:r>
        <w:rPr>
          <w:rStyle w:val="CommentReference"/>
        </w:rPr>
        <w:commentReference w:id="2"/>
      </w:r>
    </w:p>
    <w:p>
      <w:pPr>
        <w:spacing w:before="80" w:after="0"/>
      </w:pPr>
      <w:r>
        <w:t xml:space="preserve"/>
      </w:r>
    </w:p>
    <w:p>
      <w:pPr>
        <w:spacing w:before="80" w:after="80" w:line="320"/>
      </w:pPr>
      <w:r>
        <w:rPr>
          <w:rFonts w:ascii="Arial" w:cs="Arial" w:eastAsia="Arial" w:hAnsi="Arial"/>
          <w:color w:val="1A1A1A"/>
          <w:sz w:val="22"/>
          <w:szCs w:val="22"/>
        </w:rPr>
        <w:t xml:space="preserve">The journey map revealed five distinct failure points, each corresponding to a different touchpoint in the ecosystem. Crucially, none of them was purely a digital UX problem — each had a physical, communication or process layer that was contributing to the failure.</w:t>
      </w:r>
    </w:p>
    <w:p>
      <w:pPr>
        <w:spacing w:before="80" w:after="0"/>
      </w:pPr>
      <w:r>
        <w:t xml:space="preserve"/>
      </w:r>
    </w:p>
    <w:p>
      <w:pPr>
        <w:spacing w:before="200" w:after="80"/>
      </w:pPr>
      <w:commentRangeStart w:id="3"/>
      <w:r>
        <w:rPr>
          <w:rFonts w:ascii="Arial" w:cs="Arial" w:eastAsia="Arial" w:hAnsi="Arial"/>
          <w:b/>
          <w:bCs/>
          <w:color w:val="7B1A10"/>
          <w:sz w:val="22"/>
          <w:szCs w:val="22"/>
        </w:rPr>
        <w:t xml:space="preserve">Benchmark across industries</w:t>
      </w:r>
      <w:commentRangeEnd w:id="3"/>
      <w:r>
        <w:rPr>
          <w:rStyle w:val="CommentReference"/>
        </w:rPr>
        <w:commentReference w:id="3"/>
      </w:r>
    </w:p>
    <w:p>
      <w:pPr>
        <w:spacing w:before="80" w:after="80" w:line="320"/>
      </w:pPr>
      <w:r>
        <w:rPr>
          <w:rFonts w:ascii="Arial" w:cs="Arial" w:eastAsia="Arial" w:hAnsi="Arial"/>
          <w:color w:val="1A1A1A"/>
          <w:sz w:val="22"/>
          <w:szCs w:val="22"/>
        </w:rPr>
        <w:t xml:space="preserve">To identify what a best-in-class reimbursement flow looked like, I benchmarked 10 services across industries — including airlines, banks, health insurers, and digital-first platforms like Netflix, Airbnb, Spotify and Uber. The key insight was that the most effective reimbursement flows shared three properties: they confirmed the user's identity early, set clear expectations about timing, and sent proactive status updates without requiring the user to chase.</w:t>
      </w:r>
    </w:p>
    <w:p>
      <w:pPr>
        <w:spacing w:before="160" w:after="0"/>
      </w:pPr>
      <w:r>
        <w:t xml:space="preserve"/>
      </w:r>
    </w:p>
    <w:p>
      <w:pPr>
        <w:pStyle w:val="Heading2"/>
        <w:pBdr>
          <w:bottom w:val="single" w:color="C0392B" w:sz="4" w:space="4"/>
        </w:pBdr>
        <w:spacing w:before="320" w:after="120"/>
      </w:pPr>
      <w:r>
        <w:rPr>
          <w:rFonts w:ascii="Arial" w:cs="Arial" w:eastAsia="Arial" w:hAnsi="Arial"/>
          <w:b/>
          <w:bCs/>
          <w:color w:val="C0392B"/>
          <w:sz w:val="26"/>
          <w:szCs w:val="26"/>
        </w:rPr>
        <w:t xml:space="preserve">04 — Design decisions</w:t>
      </w:r>
    </w:p>
    <w:p>
      <w:pPr>
        <w:spacing w:before="200" w:after="80"/>
      </w:pPr>
      <w:commentRangeStart w:id="4"/>
      <w:r>
        <w:rPr>
          <w:rFonts w:ascii="Arial" w:cs="Arial" w:eastAsia="Arial" w:hAnsi="Arial"/>
          <w:b/>
          <w:bCs/>
          <w:color w:val="7B1A10"/>
          <w:sz w:val="22"/>
          <w:szCs w:val="22"/>
        </w:rPr>
        <w:t xml:space="preserve">Redesigning the physical document first</w:t>
      </w:r>
      <w:commentRangeEnd w:id="4"/>
      <w:r>
        <w:rPr>
          <w:rStyle w:val="CommentReference"/>
        </w:rPr>
        <w:commentReference w:id="4"/>
      </w:r>
    </w:p>
    <w:p>
      <w:pPr>
        <w:spacing w:before="80" w:after="80" w:line="320"/>
      </w:pPr>
      <w:r>
        <w:rPr>
          <w:rFonts w:ascii="Arial" w:cs="Arial" w:eastAsia="Arial" w:hAnsi="Arial"/>
          <w:color w:val="1A1A1A"/>
          <w:sz w:val="22"/>
          <w:szCs w:val="22"/>
        </w:rPr>
        <w:t xml:space="preserve">The first and most counterintuitive design decision was to not start with the digital interface. The physical Travel Voucher document was redesigned to make the redemption number visually dominant, scannable, and unambiguous. We changed the number formatting, increased contrast, and restructured the document hierarchy so the most important information was impossible to miss — even when a frustrated passenger was reading it at an airport gate.</w:t>
      </w:r>
    </w:p>
    <w:p>
      <w:pPr>
        <w:spacing w:before="80" w:after="0"/>
      </w:pPr>
      <w:r>
        <w:t xml:space="preserve"/>
      </w:r>
    </w:p>
    <w:p>
      <w:pPr>
        <w:spacing w:before="200" w:after="80"/>
      </w:pPr>
      <w:r>
        <w:rPr>
          <w:rFonts w:ascii="Arial" w:cs="Arial" w:eastAsia="Arial" w:hAnsi="Arial"/>
          <w:b/>
          <w:bCs/>
          <w:color w:val="7B1A10"/>
          <w:sz w:val="22"/>
          <w:szCs w:val="22"/>
        </w:rPr>
        <w:t xml:space="preserve">Fixing findability before fixing the flow</w:t>
      </w:r>
    </w:p>
    <w:p>
      <w:pPr>
        <w:spacing w:before="80" w:after="80" w:line="320"/>
      </w:pPr>
      <w:r>
        <w:rPr>
          <w:rFonts w:ascii="Arial" w:cs="Arial" w:eastAsia="Arial" w:hAnsi="Arial"/>
          <w:color w:val="1A1A1A"/>
          <w:sz w:val="22"/>
          <w:szCs w:val="22"/>
        </w:rPr>
        <w:t xml:space="preserve">A card sort and mass survey revealed that users didn't associate 'Travel Voucher' with 'refund' or 'reimbursement'. They searched for it under 'manage my trip', 'exchanges and returns', and similar terms. We moved the entry point to match actual mental models, which increased organic discovery of the service without any marketing spend.</w:t>
      </w:r>
    </w:p>
    <w:p>
      <w:pPr>
        <w:spacing w:before="80" w:after="0"/>
      </w:pPr>
      <w:r>
        <w:t xml:space="preserve"/>
      </w:r>
    </w:p>
    <w:p>
      <w:pPr>
        <w:spacing w:before="200" w:after="80"/>
      </w:pPr>
      <w:commentRangeStart w:id="5"/>
      <w:r>
        <w:rPr>
          <w:rFonts w:ascii="Arial" w:cs="Arial" w:eastAsia="Arial" w:hAnsi="Arial"/>
          <w:b/>
          <w:bCs/>
          <w:color w:val="7B1A10"/>
          <w:sz w:val="22"/>
          <w:szCs w:val="22"/>
        </w:rPr>
        <w:t xml:space="preserve">The digital redemption flow</w:t>
      </w:r>
      <w:commentRangeEnd w:id="5"/>
      <w:r>
        <w:rPr>
          <w:rStyle w:val="CommentReference"/>
        </w:rPr>
        <w:commentReference w:id="5"/>
      </w:r>
    </w:p>
    <w:p>
      <w:pPr>
        <w:spacing w:before="80" w:after="80" w:line="320"/>
      </w:pPr>
      <w:r>
        <w:rPr>
          <w:rFonts w:ascii="Arial" w:cs="Arial" w:eastAsia="Arial" w:hAnsi="Arial"/>
          <w:color w:val="1A1A1A"/>
          <w:sz w:val="22"/>
          <w:szCs w:val="22"/>
        </w:rPr>
        <w:t xml:space="preserve">The new flow was designed around a single principle: at every step, the user must know exactly where they are, what happens next, and what to do if something doesn't work. I designed:</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A number entry screen with a placeholder showing the exact format of a valid voucher number, and a contextual lightbox showing where on the physical document the number appears</w:t>
      </w:r>
    </w:p>
    <w:p>
      <w:pPr>
        <w:pStyle w:val="ListParagraph"/>
        <w:numPr>
          <w:ilvl w:val="0"/>
          <w:numId w:val="2"/>
        </w:numPr>
        <w:spacing w:before="60" w:after="60"/>
      </w:pPr>
      <w:r>
        <w:rPr>
          <w:rFonts w:ascii="Arial" w:cs="Arial" w:eastAsia="Arial" w:hAnsi="Arial"/>
          <w:color w:val="1A1A1A"/>
          <w:sz w:val="22"/>
          <w:szCs w:val="22"/>
        </w:rPr>
        <w:t xml:space="preserve">A responsive form handling 24 countries' banking requirements — each with different required fields, routing number formats and validation rules</w:t>
      </w:r>
    </w:p>
    <w:p>
      <w:pPr>
        <w:pStyle w:val="ListParagraph"/>
        <w:numPr>
          <w:ilvl w:val="0"/>
          <w:numId w:val="2"/>
        </w:numPr>
        <w:spacing w:before="60" w:after="60"/>
      </w:pPr>
      <w:r>
        <w:rPr>
          <w:rFonts w:ascii="Arial" w:cs="Arial" w:eastAsia="Arial" w:hAnsi="Arial"/>
          <w:color w:val="1A1A1A"/>
          <w:sz w:val="22"/>
          <w:szCs w:val="22"/>
        </w:rPr>
        <w:t xml:space="preserve">Status screens that confirm each step in plain language, with estimated transfer timing by bank type and country</w:t>
      </w:r>
    </w:p>
    <w:p>
      <w:pPr>
        <w:pStyle w:val="ListParagraph"/>
        <w:numPr>
          <w:ilvl w:val="0"/>
          <w:numId w:val="2"/>
        </w:numPr>
        <w:spacing w:before="60" w:after="60"/>
      </w:pPr>
      <w:r>
        <w:rPr>
          <w:rFonts w:ascii="Arial" w:cs="Arial" w:eastAsia="Arial" w:hAnsi="Arial"/>
          <w:color w:val="1A1A1A"/>
          <w:sz w:val="22"/>
          <w:szCs w:val="22"/>
        </w:rPr>
        <w:t xml:space="preserve">Screen-reader-accessible flows throughout, with context-aware instructions for users with visual impairments</w:t>
      </w:r>
    </w:p>
    <w:p>
      <w:pPr>
        <w:spacing w:before="80" w:after="0"/>
      </w:pPr>
      <w:r>
        <w:t xml:space="preserve"/>
      </w:r>
    </w:p>
    <w:p>
      <w:pPr>
        <w:spacing w:before="200" w:after="80"/>
      </w:pPr>
      <w:commentRangeStart w:id="6"/>
      <w:r>
        <w:rPr>
          <w:rFonts w:ascii="Arial" w:cs="Arial" w:eastAsia="Arial" w:hAnsi="Arial"/>
          <w:b/>
          <w:bCs/>
          <w:color w:val="7B1A10"/>
          <w:sz w:val="22"/>
          <w:szCs w:val="22"/>
        </w:rPr>
        <w:t xml:space="preserve">Closing the loop: retroactive email redesign</w:t>
      </w:r>
      <w:commentRangeEnd w:id="6"/>
      <w:r>
        <w:rPr>
          <w:rStyle w:val="CommentReference"/>
        </w:rPr>
        <w:commentReference w:id="6"/>
      </w:r>
    </w:p>
    <w:p>
      <w:pPr>
        <w:spacing w:before="80" w:after="80" w:line="320"/>
      </w:pPr>
      <w:r>
        <w:rPr>
          <w:rFonts w:ascii="Arial" w:cs="Arial" w:eastAsia="Arial" w:hAnsi="Arial"/>
          <w:color w:val="1A1A1A"/>
          <w:sz w:val="22"/>
          <w:szCs w:val="22"/>
        </w:rPr>
        <w:t xml:space="preserve">Passengers who had received a voucher but never redeemed it received a redesigned retroactive email. The email was rebuilt around a single visual priority: the Travel Voucher number, large and central, with a clear call to action to redeem digitally. This was tested across mobile, desktop and webmail clients in 6 languages before deployment.</w:t>
      </w:r>
    </w:p>
    <w:p>
      <w:pPr>
        <w:spacing w:before="160" w:after="0"/>
      </w:pPr>
      <w:r>
        <w:t xml:space="preserve"/>
      </w:r>
    </w:p>
    <w:p>
      <w:pPr>
        <w:pStyle w:val="Heading2"/>
        <w:pBdr>
          <w:bottom w:val="single" w:color="C0392B" w:sz="4" w:space="4"/>
        </w:pBdr>
        <w:spacing w:before="320" w:after="120"/>
      </w:pPr>
      <w:r>
        <w:rPr>
          <w:rFonts w:ascii="Arial" w:cs="Arial" w:eastAsia="Arial" w:hAnsi="Arial"/>
          <w:b/>
          <w:bCs/>
          <w:color w:val="C0392B"/>
          <w:sz w:val="26"/>
          <w:szCs w:val="26"/>
        </w:rPr>
        <w:t xml:space="preserve">05 — Results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none" w:color="FFFFFF" w:sz="0"/>
              <w:bottom w:val="none" w:color="FFFFFF" w:sz="0"/>
              <w:right w:val="none" w:color="FFFFFF" w:sz="0"/>
            </w:tcBorders>
            <w:shd w:fill="FDF0EF" w:val="clear"/>
            <w:tcMar>
              <w:top w:type="dxa" w:w="160"/>
              <w:left w:type="dxa" w:w="180"/>
              <w:bottom w:type="dxa" w:w="160"/>
              <w:right w:type="dxa" w:w="180"/>
            </w:tcMar>
          </w:tcPr>
          <w:p>
            <w:pPr>
              <w:jc w:val="center"/>
            </w:pPr>
            <w:r>
              <w:rPr>
                <w:rFonts w:ascii="Arial" w:cs="Arial" w:eastAsia="Arial" w:hAnsi="Arial"/>
                <w:b/>
                <w:bCs/>
                <w:color w:val="C0392B"/>
                <w:sz w:val="52"/>
                <w:szCs w:val="52"/>
              </w:rPr>
              <w:t xml:space="preserve">+165%</w:t>
            </w:r>
          </w:p>
          <w:p>
            <w:pPr>
              <w:spacing w:before="40"/>
              <w:jc w:val="center"/>
            </w:pPr>
            <w:r>
              <w:rPr>
                <w:rFonts w:ascii="Arial" w:cs="Arial" w:eastAsia="Arial" w:hAnsi="Arial"/>
                <w:color w:val="6B6B6B"/>
                <w:sz w:val="18"/>
                <w:szCs w:val="18"/>
              </w:rPr>
              <w:t xml:space="preserve">Digital redemption from launch to 3 months post-launch</w:t>
            </w:r>
          </w:p>
        </w:tc>
        <w:tc>
          <w:tcPr>
            <w:tcW w:type="dxa" w:w="2340"/>
            <w:tcBorders>
              <w:top w:val="single" w:color="C0392B" w:sz="4"/>
              <w:left w:val="none" w:color="FFFFFF" w:sz="0"/>
              <w:bottom w:val="none" w:color="FFFFFF" w:sz="0"/>
              <w:right w:val="none" w:color="FFFFFF" w:sz="0"/>
            </w:tcBorders>
            <w:shd w:fill="FDF0EF" w:val="clear"/>
            <w:tcMar>
              <w:top w:type="dxa" w:w="160"/>
              <w:left w:type="dxa" w:w="180"/>
              <w:bottom w:type="dxa" w:w="160"/>
              <w:right w:type="dxa" w:w="180"/>
            </w:tcMar>
          </w:tcPr>
          <w:p>
            <w:pPr>
              <w:jc w:val="center"/>
            </w:pPr>
            <w:r>
              <w:rPr>
                <w:rFonts w:ascii="Arial" w:cs="Arial" w:eastAsia="Arial" w:hAnsi="Arial"/>
                <w:b/>
                <w:bCs/>
                <w:color w:val="C0392B"/>
                <w:sz w:val="52"/>
                <w:szCs w:val="52"/>
              </w:rPr>
              <w:t xml:space="preserve">−18.5%</w:t>
            </w:r>
          </w:p>
          <w:p>
            <w:pPr>
              <w:spacing w:before="40"/>
              <w:jc w:val="center"/>
            </w:pPr>
            <w:r>
              <w:rPr>
                <w:rFonts w:ascii="Arial" w:cs="Arial" w:eastAsia="Arial" w:hAnsi="Arial"/>
                <w:color w:val="6B6B6B"/>
                <w:sz w:val="18"/>
                <w:szCs w:val="18"/>
              </w:rPr>
              <w:t xml:space="preserve">Contact Center calls for redemption</w:t>
            </w:r>
          </w:p>
        </w:tc>
        <w:tc>
          <w:tcPr>
            <w:tcW w:type="dxa" w:w="2340"/>
            <w:tcBorders>
              <w:top w:val="single" w:color="C0392B" w:sz="4"/>
              <w:left w:val="none" w:color="FFFFFF" w:sz="0"/>
              <w:bottom w:val="none" w:color="FFFFFF" w:sz="0"/>
              <w:right w:val="none" w:color="FFFFFF" w:sz="0"/>
            </w:tcBorders>
            <w:shd w:fill="FDF0EF" w:val="clear"/>
            <w:tcMar>
              <w:top w:type="dxa" w:w="160"/>
              <w:left w:type="dxa" w:w="180"/>
              <w:bottom w:type="dxa" w:w="160"/>
              <w:right w:type="dxa" w:w="180"/>
            </w:tcMar>
          </w:tcPr>
          <w:p>
            <w:pPr>
              <w:jc w:val="center"/>
            </w:pPr>
            <w:r>
              <w:rPr>
                <w:rFonts w:ascii="Arial" w:cs="Arial" w:eastAsia="Arial" w:hAnsi="Arial"/>
                <w:b/>
                <w:bCs/>
                <w:color w:val="C0392B"/>
                <w:sz w:val="52"/>
                <w:szCs w:val="52"/>
              </w:rPr>
              <w:t xml:space="preserve">4.6 / 5</w:t>
            </w:r>
          </w:p>
          <w:p>
            <w:pPr>
              <w:spacing w:before="40"/>
              <w:jc w:val="center"/>
            </w:pPr>
            <w:r>
              <w:rPr>
                <w:rFonts w:ascii="Arial" w:cs="Arial" w:eastAsia="Arial" w:hAnsi="Arial"/>
                <w:color w:val="6B6B6B"/>
                <w:sz w:val="18"/>
                <w:szCs w:val="18"/>
              </w:rPr>
              <w:t xml:space="preserve">Satisfaction score (from 2.1)</w:t>
            </w:r>
          </w:p>
        </w:tc>
        <w:tc>
          <w:tcPr>
            <w:tcW w:type="dxa" w:w="2340"/>
            <w:tcBorders>
              <w:top w:val="single" w:color="C0392B" w:sz="4"/>
              <w:left w:val="none" w:color="FFFFFF" w:sz="0"/>
              <w:bottom w:val="none" w:color="FFFFFF" w:sz="0"/>
              <w:right w:val="none" w:color="FFFFFF" w:sz="0"/>
            </w:tcBorders>
            <w:shd w:fill="FDF0EF" w:val="clear"/>
            <w:tcMar>
              <w:top w:type="dxa" w:w="160"/>
              <w:left w:type="dxa" w:w="180"/>
              <w:bottom w:type="dxa" w:w="160"/>
              <w:right w:type="dxa" w:w="180"/>
            </w:tcMar>
          </w:tcPr>
          <w:p>
            <w:pPr>
              <w:jc w:val="center"/>
            </w:pPr>
            <w:r>
              <w:rPr>
                <w:rFonts w:ascii="Arial" w:cs="Arial" w:eastAsia="Arial" w:hAnsi="Arial"/>
                <w:b/>
                <w:bCs/>
                <w:color w:val="C0392B"/>
                <w:sz w:val="52"/>
                <w:szCs w:val="52"/>
              </w:rPr>
              <w:t xml:space="preserve">5:40s</w:t>
            </w:r>
          </w:p>
          <w:p>
            <w:pPr>
              <w:spacing w:before="40"/>
              <w:jc w:val="center"/>
            </w:pPr>
            <w:r>
              <w:rPr>
                <w:rFonts w:ascii="Arial" w:cs="Arial" w:eastAsia="Arial" w:hAnsi="Arial"/>
                <w:color w:val="6B6B6B"/>
                <w:sz w:val="18"/>
                <w:szCs w:val="18"/>
              </w:rPr>
              <w:t xml:space="preserve">Average completion time (vs 30+ min by phone)</w:t>
            </w:r>
          </w:p>
        </w:tc>
      </w:tr>
    </w:tbl>
    <w:p>
      <w:pPr>
        <w:spacing w:before="160" w:after="0"/>
      </w:pPr>
      <w:r>
        <w:t xml:space="preserve"/>
      </w:r>
    </w:p>
    <w:p>
      <w:pPr>
        <w:spacing w:before="80" w:after="80" w:line="320"/>
      </w:pPr>
      <w:r>
        <w:rPr>
          <w:rFonts w:ascii="Arial" w:cs="Arial" w:eastAsia="Arial" w:hAnsi="Arial"/>
          <w:color w:val="1A1A1A"/>
          <w:sz w:val="22"/>
          <w:szCs w:val="22"/>
        </w:rPr>
        <w:t xml:space="preserve">The product launched globally across 24 countries, 6 languages and banking forms for 90+ countries. It was built to be fully autonomous — no dependencies on agents, Contact Center or any other internal channel to complete the redemption.</w:t>
      </w:r>
    </w:p>
    <w:p>
      <w:pPr>
        <w:spacing w:before="80" w:after="0"/>
      </w:pPr>
      <w:r>
        <w:t xml:space="preserve"/>
      </w:r>
    </w:p>
    <w:p>
      <w:pPr>
        <w:pBdr>
          <w:left w:val="single" w:color="C0392B" w:sz="12" w:space="12"/>
        </w:pBdr>
        <w:spacing w:before="160" w:after="160"/>
        <w:ind w:left="560"/>
      </w:pPr>
      <w:r>
        <w:rPr>
          <w:rFonts w:ascii="Arial" w:cs="Arial" w:eastAsia="Arial" w:hAnsi="Arial"/>
          <w:color w:val="6B6B6B"/>
          <w:sz w:val="22"/>
          <w:szCs w:val="22"/>
        </w:rPr>
        <w:t xml:space="preserve">"El proceso es fácil y sencillo. Cero problemas, gracias." / "It was very straightforward, thanks!" — User feedback post-launch (selected from 2,503 responses)</w:t>
      </w:r>
    </w:p>
    <w:p>
      <w:pPr>
        <w:spacing w:before="80" w:after="0"/>
      </w:pPr>
      <w:r>
        <w:t xml:space="preserve"/>
      </w:r>
    </w:p>
    <w:p>
      <w:pPr>
        <w:spacing w:before="80" w:after="80" w:line="320"/>
      </w:pPr>
      <w:r>
        <w:rPr>
          <w:rFonts w:ascii="Arial" w:cs="Arial" w:eastAsia="Arial" w:hAnsi="Arial"/>
          <w:color w:val="1A1A1A"/>
          <w:sz w:val="22"/>
          <w:szCs w:val="22"/>
        </w:rPr>
        <w:t xml:space="preserve">The design work was presented as a showcase of LATAM's UX practice at Interaction Latin America 2019 in Bogotá — the largest UX conference in the region.</w:t>
      </w:r>
    </w:p>
    <w:p>
      <w:pPr>
        <w:spacing w:before="160" w:after="0"/>
      </w:pPr>
      <w:r>
        <w:t xml:space="preserve"/>
      </w:r>
    </w:p>
    <w:p>
      <w:pPr>
        <w:pStyle w:val="Heading2"/>
        <w:pBdr>
          <w:bottom w:val="single" w:color="C0392B" w:sz="4" w:space="4"/>
        </w:pBdr>
        <w:spacing w:before="320" w:after="120"/>
      </w:pPr>
      <w:r>
        <w:rPr>
          <w:rFonts w:ascii="Arial" w:cs="Arial" w:eastAsia="Arial" w:hAnsi="Arial"/>
          <w:b/>
          <w:bCs/>
          <w:color w:val="C0392B"/>
          <w:sz w:val="26"/>
          <w:szCs w:val="26"/>
        </w:rPr>
        <w:t xml:space="preserve">06 — Key learnings</w:t>
      </w:r>
    </w:p>
    <w:p>
      <w:pPr>
        <w:spacing w:before="200" w:after="80"/>
      </w:pPr>
      <w:r>
        <w:rPr>
          <w:rFonts w:ascii="Arial" w:cs="Arial" w:eastAsia="Arial" w:hAnsi="Arial"/>
          <w:b/>
          <w:bCs/>
          <w:color w:val="7B1A10"/>
          <w:sz w:val="22"/>
          <w:szCs w:val="22"/>
        </w:rPr>
        <w:t xml:space="preserve">Product design is a system problem, not a screen problem</w:t>
      </w:r>
    </w:p>
    <w:p>
      <w:pPr>
        <w:spacing w:before="80" w:after="80" w:line="320"/>
      </w:pPr>
      <w:r>
        <w:rPr>
          <w:rFonts w:ascii="Arial" w:cs="Arial" w:eastAsia="Arial" w:hAnsi="Arial"/>
          <w:color w:val="1A1A1A"/>
          <w:sz w:val="22"/>
          <w:szCs w:val="22"/>
        </w:rPr>
        <w:t xml:space="preserve">The Travel Voucher case is the clearest example in my career that the most impactful design work often happens away from the screen. Fixing the physical document was the decision that unlocked everything else. If I had only redesigned the digital flow, the redemption rate would have barely moved.</w:t>
      </w:r>
    </w:p>
    <w:p>
      <w:pPr>
        <w:spacing w:before="80" w:after="0"/>
      </w:pPr>
      <w:r>
        <w:t xml:space="preserve"/>
      </w:r>
    </w:p>
    <w:p>
      <w:pPr>
        <w:spacing w:before="200" w:after="80"/>
      </w:pPr>
      <w:r>
        <w:rPr>
          <w:rFonts w:ascii="Arial" w:cs="Arial" w:eastAsia="Arial" w:hAnsi="Arial"/>
          <w:b/>
          <w:bCs/>
          <w:color w:val="7B1A10"/>
          <w:sz w:val="22"/>
          <w:szCs w:val="22"/>
        </w:rPr>
        <w:t xml:space="preserve">Emotional context shapes everything</w:t>
      </w:r>
    </w:p>
    <w:p>
      <w:pPr>
        <w:spacing w:before="80" w:after="80" w:line="320"/>
      </w:pPr>
      <w:r>
        <w:rPr>
          <w:rFonts w:ascii="Arial" w:cs="Arial" w:eastAsia="Arial" w:hAnsi="Arial"/>
          <w:color w:val="1A1A1A"/>
          <w:sz w:val="22"/>
          <w:szCs w:val="22"/>
        </w:rPr>
        <w:t xml:space="preserve">Designing for passengers in a contingency means designing for people in a low emotional state. Every copy decision, every loading state, every error message had to be evaluated against the question: does this feel like the airline is taking care of me, or making me feel more frustrated? That lens — empathy as a design constraint — was the most important tool in this project.</w:t>
      </w:r>
    </w:p>
    <w:p>
      <w:pPr>
        <w:spacing w:before="80" w:after="0"/>
      </w:pPr>
      <w:r>
        <w:t xml:space="preserve"/>
      </w:r>
    </w:p>
    <w:p>
      <w:pPr>
        <w:spacing w:before="200" w:after="80"/>
      </w:pPr>
      <w:r>
        <w:rPr>
          <w:rFonts w:ascii="Arial" w:cs="Arial" w:eastAsia="Arial" w:hAnsi="Arial"/>
          <w:b/>
          <w:bCs/>
          <w:color w:val="7B1A10"/>
          <w:sz w:val="22"/>
          <w:szCs w:val="22"/>
        </w:rPr>
        <w:t xml:space="preserve">Consistency across touchpoints is a product strategy decision</w:t>
      </w:r>
    </w:p>
    <w:p>
      <w:pPr>
        <w:spacing w:before="80" w:after="80" w:line="320"/>
      </w:pPr>
      <w:r>
        <w:rPr>
          <w:rFonts w:ascii="Arial" w:cs="Arial" w:eastAsia="Arial" w:hAnsi="Arial"/>
          <w:color w:val="1A1A1A"/>
          <w:sz w:val="22"/>
          <w:szCs w:val="22"/>
        </w:rPr>
        <w:t xml:space="preserve">Coordinating the redesign of the physical document, the digital flow, the emails and the agent communication scripts required aligning stakeholders across multiple business units. That alignment work — making the case for why every touchpoint needed to tell the same story — was as much a part of the design as the Figma files.</w:t>
      </w:r>
    </w:p>
    <w:p>
      <w:pPr>
        <w:spacing w:before="80" w:after="0"/>
      </w:pPr>
      <w:r>
        <w:t xml:space="preserve"/>
      </w:r>
    </w:p>
    <w:p>
      <w:pPr>
        <w:pBdr>
          <w:bottom w:val="single" w:color="DDDDDD" w:sz="2" w:space="1"/>
        </w:pBdr>
        <w:spacing w:before="200" w:after="200"/>
      </w:pPr>
      <w:r>
        <w:t xml:space="preserve"/>
      </w:r>
    </w:p>
    <w:p>
      <w:pPr>
        <w:spacing w:before="120" w:after="60"/>
      </w:pPr>
      <w:r>
        <w:rPr>
          <w:rFonts w:ascii="Arial" w:cs="Arial" w:eastAsia="Arial" w:hAnsi="Arial"/>
          <w:color w:val="6B6B6B"/>
          <w:sz w:val="18"/>
          <w:szCs w:val="18"/>
        </w:rPr>
        <w:t xml:space="preserve">Pamela Zárate Martel  ·  Senior Product Designer</w:t>
      </w:r>
    </w:p>
    <w:p>
      <w:pPr>
        <w:spacing w:before="0" w:after="0"/>
      </w:pPr>
      <w:r>
        <w:rPr>
          <w:rFonts w:ascii="Arial" w:cs="Arial" w:eastAsia="Arial" w:hAnsi="Arial"/>
          <w:color w:val="C0392B"/>
          <w:sz w:val="18"/>
          <w:szCs w:val="18"/>
        </w:rPr>
        <w:t xml:space="preserve">p.zaratemartel@gmail.com  ·  zaratemartel.super.site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3-17T15:54:38Z" w:initials="C">
    <w:p w14:paraId="514A12D6" w14:textId="77777777">
      <w:r>
        <w:rPr>
          <w:rStyle w:val="CommentReference"/>
        </w:rPr>
        <w:annotationRef/>
      </w:r>
      <w:r>
        <w:rPr>
          <w:color w:val="000000"/>
          <w:sz w:val="20"/>
          <w:szCs w:val="20"/>
        </w:rPr>
        <w:t>IMAGE SUGGESTION: Airport contingency scene — stressed passengers at a gate, agents handing out printed documents. Shows the emotional context before any digital solution. Source: licensed stock (Getty/Unsplash) or a recreated scene illustration.</w:t>
      </w:r>
    </w:p>
  </w:comment>
  <w:comment w:id="1" w:author="Claude" w:date="2026-03-17T15:54:39Z" w:initials="C">
    <w:p w14:paraId="14C3E7AE" w14:textId="77777777">
      <w:r>
        <w:rPr>
          <w:rStyle w:val="CommentReference"/>
        </w:rPr>
        <w:annotationRef/>
      </w:r>
      <w:r>
        <w:rPr>
          <w:color w:val="000000"/>
          <w:sz w:val="20"/>
          <w:szCs w:val="20"/>
        </w:rPr>
        <w:t>IMAGE SUGGESTION: Side-by-side of the BEFORE/AFTER physical Travel Voucher document — old version with hard-to-read number vs redesigned version with dominant, clearly formatted voucher number. High-impact visual that immediately explains the core insight.</w:t>
      </w:r>
    </w:p>
  </w:comment>
  <w:comment w:id="2" w:author="Claude" w:date="2026-03-17T15:54:39Z" w:initials="C">
    <w:p w14:paraId="58627EA0" w14:textId="77777777">
      <w:r>
        <w:rPr>
          <w:rStyle w:val="CommentReference"/>
        </w:rPr>
        <w:annotationRef/>
      </w:r>
      <w:r>
        <w:rPr>
          <w:color w:val="000000"/>
          <w:sz w:val="20"/>
          <w:szCs w:val="20"/>
        </w:rPr>
        <w:t>IMAGE SUGGESTION: Journey map showing the full Travel Voucher experience — from flight contingency at the gate through to final bank transfer confirmation. Highlight the 5 failure points in red. This was mentioned as a research artefact and should be shown.</w:t>
      </w:r>
    </w:p>
  </w:comment>
  <w:comment w:id="3" w:author="Claude" w:date="2026-03-17T15:54:39Z" w:initials="C">
    <w:p w14:paraId="115ED5EF" w14:textId="77777777">
      <w:r>
        <w:rPr>
          <w:rStyle w:val="CommentReference"/>
        </w:rPr>
        <w:annotationRef/>
      </w:r>
      <w:r>
        <w:rPr>
          <w:color w:val="000000"/>
          <w:sz w:val="20"/>
          <w:szCs w:val="20"/>
        </w:rPr>
        <w:t>IMAGE SUGGESTION: Benchmark comparison grid — the 10 services analyzed (airlines, Airbnb, Netflix, Uber, etc.) scored across the key flow dimensions. A simple matrix or radar chart works well here.</w:t>
      </w:r>
    </w:p>
  </w:comment>
  <w:comment w:id="4" w:author="Claude" w:date="2026-03-17T15:54:39Z" w:initials="C">
    <w:p w14:paraId="37D570FB" w14:textId="77777777">
      <w:r>
        <w:rPr>
          <w:rStyle w:val="CommentReference"/>
        </w:rPr>
        <w:annotationRef/>
      </w:r>
      <w:r>
        <w:rPr>
          <w:color w:val="000000"/>
          <w:sz w:val="20"/>
          <w:szCs w:val="20"/>
        </w:rPr>
        <w:t>IMAGE SUGGESTION: The digital redemption flow wireframes (low and high fidelity) — show the number entry screen with the placeholder and lightbox helper, the banking form for multiple countries, and the confirmation screen. You have these from the original case.</w:t>
      </w:r>
    </w:p>
  </w:comment>
  <w:comment w:id="5" w:author="Claude" w:date="2026-03-17T15:54:40Z" w:initials="C">
    <w:p w14:paraId="140824DF" w14:textId="77777777">
      <w:r>
        <w:rPr>
          <w:rStyle w:val="CommentReference"/>
        </w:rPr>
        <w:annotationRef/>
      </w:r>
      <w:r>
        <w:rPr>
          <w:color w:val="000000"/>
          <w:sz w:val="20"/>
          <w:szCs w:val="20"/>
        </w:rPr>
        <w:t>IMAGE SUGGESTION: Redesigned retroactive email mockup — showing the voucher number large and central, the two-language layout, and the CTA button. Show mobile and desktop versions side by side to demonstrate responsive thinking.</w:t>
      </w:r>
    </w:p>
  </w:comment>
  <w:comment w:id="6" w:author="Claude" w:date="2026-03-17T15:54:40Z" w:initials="C">
    <w:p w14:paraId="21C713BF" w14:textId="77777777">
      <w:r>
        <w:rPr>
          <w:rStyle w:val="CommentReference"/>
        </w:rPr>
        <w:annotationRef/>
      </w:r>
      <w:r>
        <w:rPr>
          <w:color w:val="000000"/>
          <w:sz w:val="20"/>
          <w:szCs w:val="20"/>
        </w:rPr>
        <w:t>IMAGE SUGGESTION: Results summary graphic — a clean before/after visual showing the four key metrics (redemption rate, satisfaction score, Contact Center calls, completion time). Can be a simple 2x2 stat card layout or a before/after comparison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4A12D6" w15:done="0"/>
  <w15:commentEx w15:paraId="14C3E7AE" w15:done="0"/>
  <w15:commentEx w15:paraId="58627EA0" w15:done="0"/>
  <w15:commentEx w15:paraId="115ED5EF" w15:done="0"/>
  <w15:commentEx w15:paraId="37D570FB" w15:done="0"/>
  <w15:commentEx w15:paraId="140824DF" w15:done="0"/>
  <w15:commentEx w15:paraId="21C713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E331FB7" w16cex:dateUtc="2026-03-17T15:54:38Z"/>
  <w16cex:commentExtensible w16cex:durableId="1B04EC37" w16cex:dateUtc="2026-03-17T15:54:39Z"/>
  <w16cex:commentExtensible w16cex:durableId="67FE9DF5" w16cex:dateUtc="2026-03-17T15:54:39Z"/>
  <w16cex:commentExtensible w16cex:durableId="0A46C513" w16cex:dateUtc="2026-03-17T15:54:39Z"/>
  <w16cex:commentExtensible w16cex:durableId="0C4E211B" w16cex:dateUtc="2026-03-17T15:54:39Z"/>
  <w16cex:commentExtensible w16cex:durableId="11180BE0" w16cex:dateUtc="2026-03-17T15:54:40Z"/>
  <w16cex:commentExtensible w16cex:durableId="533CE758" w16cex:dateUtc="2026-03-17T15:54:4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4A12D6" w16cid:durableId="3E331FB7"/>
  <w16cid:commentId w16cid:paraId="14C3E7AE" w16cid:durableId="1B04EC37"/>
  <w16cid:commentId w16cid:paraId="58627EA0" w16cid:durableId="67FE9DF5"/>
  <w16cid:commentId w16cid:paraId="115ED5EF" w16cid:durableId="0A46C513"/>
  <w16cid:commentId w16cid:paraId="37D570FB" w16cid:durableId="0C4E211B"/>
  <w16cid:commentId w16cid:paraId="140824DF" w16cid:durableId="11180BE0"/>
  <w16cid:commentId w16cid:paraId="21C713BF" w16cid:durableId="533CE7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40"/>
      <w:szCs w:val="40"/>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microsoft.com/office/2011/relationships/commentsExtended" Target="commentsExtended.xml"/><Relationship Id="rId8" Type="http://schemas.microsoft.com/office/2018/relationships/commentsExtensible" Target="commentsExtensible.xml"/><Relationship Id="rId9" Type="http://schemas.microsoft.com/office/2016/09/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2026-03-17T15:34:53.510Z</dcterms:created>
  <dcterms:modified xsi:type="dcterms:W3CDTF">2026-03-17T15:34:53.511Z</dcterms:modified>
</cp:coreProperties>
</file>

<file path=docProps/custom.xml><?xml version="1.0" encoding="utf-8"?>
<Properties xmlns="http://schemas.openxmlformats.org/officeDocument/2006/custom-properties" xmlns:vt="http://schemas.openxmlformats.org/officeDocument/2006/docPropsVTypes"/>
</file>