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0000"/>
        </w:rPr>
        <w:t>INSTRUKCJE DO ZADANIA (Style, Tabele, Spis Treści):</w:t>
        <w:br/>
      </w:r>
      <w:r>
        <w:t>1. Nadaj wbudowany styl 'Nagłówek 1' dla głównych tytułów sekcji (Wstęp, Koszty, Podsumowanie).</w:t>
        <w:br/>
      </w:r>
      <w:r>
        <w:t>2. Wygeneruj Automatyczny Spis Treści na pierwszej stronie zaraz pod tytułem raportu.</w:t>
        <w:br/>
      </w:r>
      <w:r>
        <w:t>3. Sformatuj tabelę poniżej (dodaj do niej ładny Styl Tabeli w zakładce Projekt).</w:t>
        <w:br/>
      </w:r>
      <w:r>
        <w:t>4. Wstaw w dowolnym miejscu obrazek z dysku i ustaw jego zawijanie tekstu na 'Przyległe'.</w:t>
        <w:br/>
      </w:r>
      <w:r>
        <w:t>5. Dodaj automatyczne Numery Stron w Stopce dokumentu.</w:t>
        <w:br/>
      </w:r>
      <w:r>
        <w:t>--------------------------------------------------</w:t>
      </w:r>
    </w:p>
    <w:p>
      <w:pPr>
        <w:pStyle w:val="Title"/>
      </w:pPr>
      <w:r>
        <w:t>RAPORT BIZNESOWY 2024</w:t>
      </w:r>
    </w:p>
    <w:p>
      <w:pPr>
        <w:jc w:val="center"/>
      </w:pPr>
      <w:r>
        <w:t>[TUTAJ WSTAW SPIS TREŚCI]</w:t>
      </w:r>
    </w:p>
    <w:p>
      <w:r>
        <w:br w:type="page"/>
      </w:r>
    </w:p>
    <w:p>
      <w:r>
        <w:t>Wstęp - Cel raportu</w:t>
      </w:r>
    </w:p>
    <w:p>
      <w:r>
        <w:t>Niniejszy raport podsumowuje wydatki i działania podjęte w pierwszej połowie roku 2024. Wdrożenie nowych systemów TIK pozwoliło na znaczną optymalizację czasu pracy wszystkich pracowników administracyjnych.</w:t>
      </w:r>
    </w:p>
    <w:p>
      <w:r>
        <w:t>Koszty Operacyjne</w:t>
      </w:r>
    </w:p>
    <w:p>
      <w:r>
        <w:t>Poniżej przedstawiono zestawienie kosztów na poszczególne licencje oprogramowania: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Produkt</w:t>
            </w:r>
          </w:p>
        </w:tc>
        <w:tc>
          <w:tcPr>
            <w:tcW w:type="dxa" w:w="2880"/>
          </w:tcPr>
          <w:p>
            <w:r>
              <w:t>Ilość</w:t>
            </w:r>
          </w:p>
        </w:tc>
        <w:tc>
          <w:tcPr>
            <w:tcW w:type="dxa" w:w="2880"/>
          </w:tcPr>
          <w:p>
            <w:r>
              <w:t>Koszt (PLN)</w:t>
            </w:r>
          </w:p>
        </w:tc>
      </w:tr>
      <w:tr>
        <w:tc>
          <w:tcPr>
            <w:tcW w:type="dxa" w:w="2880"/>
          </w:tcPr>
          <w:p>
            <w:r>
              <w:t>Pakiet Office 365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25000</w:t>
            </w:r>
          </w:p>
        </w:tc>
      </w:tr>
      <w:tr>
        <w:tc>
          <w:tcPr>
            <w:tcW w:type="dxa" w:w="2880"/>
          </w:tcPr>
          <w:p>
            <w:r>
              <w:t>Program Antywirusowy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7500</w:t>
            </w:r>
          </w:p>
        </w:tc>
      </w:tr>
      <w:tr>
        <w:tc>
          <w:tcPr>
            <w:tcW w:type="dxa" w:w="2880"/>
          </w:tcPr>
          <w:p>
            <w:r>
              <w:t>System CRM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</w:tbl>
    <w:p/>
    <w:p>
      <w:r>
        <w:t>Podsumowanie Działań</w:t>
      </w:r>
    </w:p>
    <w:p>
      <w:r>
        <w:t>Zarząd uznaje wydatki za uzasadnione. Kolejne inwestycje będą planowane na Q3 2024 roku.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