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/>
        <w:drawing>
          <wp:inline distB="114300" distT="114300" distL="114300" distR="114300">
            <wp:extent cx="4528640" cy="273843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64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971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</w:t>
      </w:r>
      <w:r w:rsidDel="00000000" w:rsidR="00000000" w:rsidRPr="00000000">
        <w:rPr>
          <w:rtl w:val="0"/>
        </w:rPr>
        <w:t xml:space="preserve"> “collect at /tmp/ipykernel_9499/2531723300.py:20” (or similar)</w:t>
        <w:br w:type="textWrapping"/>
        <w:t xml:space="preserve">Then expand the DAG visualization: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4419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50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/>
  <w:font w:name="Source Code Pro"/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2.png"/><Relationship Id="rId22" Type="http://schemas.openxmlformats.org/officeDocument/2006/relationships/footer" Target="footer1.xml"/><Relationship Id="rId10" Type="http://schemas.openxmlformats.org/officeDocument/2006/relationships/image" Target="media/image4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3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