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15a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Using SOAPUI to interact with a sample SOAP Service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Deploy a ready built service in Docker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Call the service using SOAP message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See sample SOAP messages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These are already installed on the VM.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SOAPUI 5.0.0 or later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br w:type="column"/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Firstly, you can make sure all previous servers (tomcat, purchase, node, mitmdump, etc) are closed down as we don’t need them for this exercise.</w:t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Docker to run a SOAP service. In this lab, we are going to take a WSDL/SOAP payment service that is loosely modeled on a real SOAP API.</w:t>
        <w:br w:type="textWrapping"/>
        <w:t xml:space="preserve"> (Barclaycard SmartPay </w:t>
      </w:r>
      <w:hyperlink r:id="rId6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https://www.barclaycard.co.uk/business/accepting-payments/website-payments/web-developer-resources/smartpay#tabbox1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docker to run the SOAP service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run -d -p 8888:8080 pizak/pay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offers the docker based service (which is a WAR file running in Tomcat) at port 8888 (mapped from the original 8080 that the Docker image offers).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to see if its running: </w:t>
        <w:br w:type="textWrapping"/>
        <w:t xml:space="preserve">Browse: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SOAP Web Service listed with a link to the WSDL.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270500" cy="1824986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4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this link. You should see a WSDL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51098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WSDL link (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http://localhost:8888/pay/services/paymentSOAP?wsdl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into the clipboard.</w:t>
        <w:br w:type="textWrapping"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up SOAPUI from the launcher: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85800" cy="64949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49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a screen like this: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329406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SOAP Project: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File-&gt;New SOAP Project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7614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in a name for the project (e.g. Payment)</w:t>
        <w:br w:type="textWrapping"/>
        <w:t xml:space="preserve">Paste the WSDL URI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 WSDL field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open up the Request editor for one of the operations. You can do this by navigating the service tree in the left window until you see a Request object and click on that.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request</w:t>
        <w:br w:type="textWrapping"/>
        <w:t xml:space="preserve">In the XML Payload, change the ‘?’ field into “hello”.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75026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5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hit the little green arrow (Run) button.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from the service.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114334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4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do the same for the Authorise method. Fill in some data. e.g.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817322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7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(either success or failure)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5224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the HTTP Headers and the other data SOAPUI gives you.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1457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4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That’s all.</w:t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interaction to go via MITMDUMP.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footerReference r:id="rId21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lairMdITC TT-Medium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8.png"/><Relationship Id="rId10" Type="http://schemas.openxmlformats.org/officeDocument/2006/relationships/hyperlink" Target="http://localhost:8888/pay/services/paymentSOAP?wsdl" TargetMode="External"/><Relationship Id="rId21" Type="http://schemas.openxmlformats.org/officeDocument/2006/relationships/footer" Target="footer1.xml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www.barclaycard.co.uk/business/accepting-payments/website-payments/web-developer-resources/smartpay#tabbox1" TargetMode="External"/><Relationship Id="rId18" Type="http://schemas.openxmlformats.org/officeDocument/2006/relationships/image" Target="media/image6.png"/><Relationship Id="rId7" Type="http://schemas.openxmlformats.org/officeDocument/2006/relationships/hyperlink" Target="http://localhost:8888/pay/services" TargetMode="External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