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sz w:val="72"/>
          <w:szCs w:val="72"/>
        </w:rPr>
      </w:pPr>
      <w:r w:rsidDel="00000000" w:rsidR="00000000" w:rsidRPr="00000000">
        <w:rPr>
          <w:b w:val="1"/>
          <w:sz w:val="72"/>
          <w:szCs w:val="72"/>
          <w:rtl w:val="0"/>
        </w:rPr>
        <w:t xml:space="preserve">Exercise 15a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Using SOAPUI to interact with a sample SOAP Service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Prior Knowledge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XML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Objectives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Deploy a ready built service in Docker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Call the service using SOAP message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See sample SOAP messages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Software Requirements 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These are already installed on the VM.</w:t>
      </w:r>
    </w:p>
    <w:p w:rsidR="00000000" w:rsidDel="00000000" w:rsidP="00000000" w:rsidRDefault="00000000" w:rsidRPr="00000000" w14:paraId="0000000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Docker</w:t>
      </w:r>
    </w:p>
    <w:p w:rsidR="00000000" w:rsidDel="00000000" w:rsidP="00000000" w:rsidRDefault="00000000" w:rsidRPr="00000000" w14:paraId="00000011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SOAPUI 5.0.0 or later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b w:val="1"/>
        </w:rPr>
      </w:pPr>
      <w:r w:rsidDel="00000000" w:rsidR="00000000" w:rsidRPr="00000000">
        <w:br w:type="column"/>
      </w:r>
      <w:r w:rsidDel="00000000" w:rsidR="00000000" w:rsidRPr="00000000">
        <w:rPr>
          <w:b w:val="1"/>
          <w:rtl w:val="0"/>
        </w:rPr>
        <w:t xml:space="preserve"> </w:t>
      </w:r>
    </w:p>
    <w:p w:rsidR="00000000" w:rsidDel="00000000" w:rsidP="00000000" w:rsidRDefault="00000000" w:rsidRPr="00000000" w14:paraId="0000001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Firstly, you can make sure all previous servers (tomcat, purchase, node, mitmdump, etc) are closed down as we don’t need them for this exercise.</w:t>
        <w:br w:type="textWrapping"/>
      </w:r>
    </w:p>
    <w:p w:rsidR="00000000" w:rsidDel="00000000" w:rsidP="00000000" w:rsidRDefault="00000000" w:rsidRPr="00000000" w14:paraId="00000016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We are going to use Docker to run a SOAP service. In this lab, we are going to take a WSDL/SOAP payment service that is loosely modeled on a real SOAP API.</w:t>
        <w:br w:type="textWrapping"/>
        <w:t xml:space="preserve"> (Barclaycard SmartPay </w:t>
      </w:r>
      <w:hyperlink r:id="rId6">
        <w:r w:rsidDel="00000000" w:rsidR="00000000" w:rsidRPr="00000000">
          <w:rPr>
            <w:rFonts w:ascii="Cambria" w:cs="Cambria" w:eastAsia="Cambria" w:hAnsi="Cambria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https://www.barclaycard.co.uk/business/accepting-payments/website-payments/web-developer-resources/smartpay#tabbox1</w:t>
        </w:r>
      </w:hyperlink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).</w:t>
        <w:br w:type="textWrapping"/>
      </w:r>
    </w:p>
    <w:p w:rsidR="00000000" w:rsidDel="00000000" w:rsidP="00000000" w:rsidRDefault="00000000" w:rsidRPr="00000000" w14:paraId="00000017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Use docker to run the SOAP service</w:t>
        <w:br w:type="textWrapping"/>
      </w:r>
    </w:p>
    <w:p w:rsidR="00000000" w:rsidDel="00000000" w:rsidP="00000000" w:rsidRDefault="00000000" w:rsidRPr="00000000" w14:paraId="0000001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gjdgxs" w:id="0"/>
      <w:bookmarkEnd w:id="0"/>
      <w:r w:rsidDel="00000000" w:rsidR="00000000" w:rsidRPr="00000000">
        <w:rPr>
          <w:rFonts w:ascii="Lucida Sans" w:cs="Lucida Sans" w:eastAsia="Lucida Sans" w:hAnsi="Lucida San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docker run -d -p 8888:8080 pizak/pay</w:t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t xml:space="preserve">This offers the docker based service (which is a WAR file running in Tomcat) at port 8888 (mapped from the original 8080 that the Docker image offers). </w:t>
        <w:br w:type="textWrapping"/>
      </w:r>
    </w:p>
    <w:p w:rsidR="00000000" w:rsidDel="00000000" w:rsidP="00000000" w:rsidRDefault="00000000" w:rsidRPr="00000000" w14:paraId="00000019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Check to see if its running: </w:t>
        <w:br w:type="textWrapping"/>
        <w:t xml:space="preserve">Browse: </w:t>
      </w:r>
      <w:hyperlink r:id="rId7">
        <w:r w:rsidDel="00000000" w:rsidR="00000000" w:rsidRPr="00000000">
          <w:rPr>
            <w:rFonts w:ascii="Cambria" w:cs="Cambria" w:eastAsia="Cambria" w:hAnsi="Cambria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http://localhost:8888/pay/services</w:t>
        </w:r>
      </w:hyperlink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  <w:br w:type="textWrapping"/>
      </w:r>
    </w:p>
    <w:p w:rsidR="00000000" w:rsidDel="00000000" w:rsidP="00000000" w:rsidRDefault="00000000" w:rsidRPr="00000000" w14:paraId="0000001A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You should see a SOAP Web Service listed with a link to the WSDL.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/>
        <w:drawing>
          <wp:inline distB="0" distT="0" distL="0" distR="0">
            <wp:extent cx="5270500" cy="1824986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249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C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Click on this link. You should see a WSDL</w:t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270500" cy="2510984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109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Copy the WSDL link (</w:t>
      </w:r>
      <w:hyperlink r:id="rId10">
        <w:r w:rsidDel="00000000" w:rsidR="00000000" w:rsidRPr="00000000">
          <w:rPr>
            <w:rFonts w:ascii="Cambria" w:cs="Cambria" w:eastAsia="Cambria" w:hAnsi="Cambria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http://localhost:8888/pay/services/paymentSOAP?wsdl</w:t>
        </w:r>
      </w:hyperlink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 into the clipboard.</w:t>
        <w:br w:type="textWrapping"/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start up SOAPUI from the launcher:</w:t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685800" cy="649498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" cy="6494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t xml:space="preserve">You should see a screen like this:</w:t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270500" cy="3294063"/>
            <wp:effectExtent b="0" l="0" r="0" t="0"/>
            <wp:docPr id="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940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column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Start a new SOAP Project: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File-&gt;New SOAP Project</w:t>
        <w:br w:type="textWrapping"/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270500" cy="2176145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761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22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Type in a name for the project (e.g. Payment)</w:t>
        <w:br w:type="textWrapping"/>
        <w:t xml:space="preserve">Paste the WSDL URI into the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Initial WSDL field</w:t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Hit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OK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open up the Request editor for one of the operations. You can do this by navigating the service tree in the left window until you see a Request object and click on that.</w:t>
        <w:br w:type="textWrapping"/>
      </w:r>
    </w:p>
    <w:p w:rsidR="00000000" w:rsidDel="00000000" w:rsidP="00000000" w:rsidRDefault="00000000" w:rsidRPr="00000000" w14:paraId="00000024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Choose the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ping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request</w:t>
        <w:br w:type="textWrapping"/>
        <w:t xml:space="preserve">In the XML Payload, change the ‘?’ field into “hello”. </w:t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270500" cy="1475026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750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hit the little green arrow (Run) button.</w:t>
        <w:br w:type="textWrapping"/>
      </w:r>
    </w:p>
    <w:p w:rsidR="00000000" w:rsidDel="00000000" w:rsidP="00000000" w:rsidRDefault="00000000" w:rsidRPr="00000000" w14:paraId="00000026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You should see a response from the service. </w:t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270500" cy="1114334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143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do the same for the Authorise method. Fill in some data. e.g.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270500" cy="2817322"/>
            <wp:effectExtent b="0" l="0" r="0" t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173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You should see a response (either success or failure) like:</w:t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270500" cy="1452245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522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Take a look at the HTTP Headers and the other data SOAPUI gives you.</w:t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270500" cy="2714570"/>
            <wp:effectExtent b="0" l="0" r="0" t="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145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That’s all.</w:t>
        <w:br w:type="textWrapping"/>
      </w:r>
    </w:p>
    <w:p w:rsidR="00000000" w:rsidDel="00000000" w:rsidP="00000000" w:rsidRDefault="00000000" w:rsidRPr="00000000" w14:paraId="0000002B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Extension: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get the interaction to go via MITMDUMP.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sectPr>
      <w:headerReference r:id="rId19" w:type="default"/>
      <w:footerReference r:id="rId20" w:type="default"/>
      <w:footerReference r:id="rId21" w:type="even"/>
      <w:pgSz w:h="16840" w:w="11900" w:orient="portrait"/>
      <w:pgMar w:bottom="1440" w:top="1440" w:left="1800" w:right="180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mbria"/>
  <w:font w:name="Georgia"/>
  <w:font w:name="Calibri"/>
  <w:font w:name="Courier New"/>
  <w:font w:name="Lucida Sans"/>
  <w:font w:name="Montserra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BlairMdITC TT-Medium"/>
  <w:font w:name="Noto Sans Symbol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0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right"/>
      <w:rPr>
        <w:rFonts w:ascii="Cambria" w:cs="Cambria" w:eastAsia="Cambria" w:hAnsi="Cambria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Cambria" w:cs="Cambria" w:eastAsia="Cambria" w:hAnsi="Cambria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1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360" w:firstLine="0"/>
      <w:jc w:val="left"/>
      <w:rPr>
        <w:rFonts w:ascii="Cambria" w:cs="Cambria" w:eastAsia="Cambria" w:hAnsi="Cambria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2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4914900</wp:posOffset>
          </wp:positionH>
          <wp:positionV relativeFrom="paragraph">
            <wp:posOffset>60960</wp:posOffset>
          </wp:positionV>
          <wp:extent cx="792480" cy="278765"/>
          <wp:effectExtent b="0" l="0" r="0" t="0"/>
          <wp:wrapSquare wrapText="bothSides" distB="0" distT="0" distL="114300" distR="114300"/>
          <wp:docPr id="10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92480" cy="278765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33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</w:rPr>
    </w:pPr>
    <w:r w:rsidDel="00000000" w:rsidR="00000000" w:rsidRPr="00000000"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© Paul Fremantle 2016.  Licensed under the This work is licensed under a </w:t>
    </w:r>
  </w:p>
  <w:p w:rsidR="00000000" w:rsidDel="00000000" w:rsidP="00000000" w:rsidRDefault="00000000" w:rsidRPr="00000000" w14:paraId="00000034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-1056" w:firstLine="0"/>
      <w:jc w:val="left"/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</w:rPr>
    </w:pPr>
    <w:r w:rsidDel="00000000" w:rsidR="00000000" w:rsidRPr="00000000"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Creative Commons Attribution-NonCommercial-ShareAlike 4.0 </w:t>
    </w:r>
  </w:p>
  <w:p w:rsidR="00000000" w:rsidDel="00000000" w:rsidP="00000000" w:rsidRDefault="00000000" w:rsidRPr="00000000" w14:paraId="00000035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International License. See  </w:t>
    </w:r>
    <w:hyperlink r:id="rId2">
      <w:r w:rsidDel="00000000" w:rsidR="00000000" w:rsidRPr="00000000">
        <w:rPr>
          <w:rFonts w:ascii="Montserrat" w:cs="Montserrat" w:eastAsia="Montserrat" w:hAnsi="Montserrat"/>
          <w:b w:val="0"/>
          <w:i w:val="0"/>
          <w:smallCaps w:val="0"/>
          <w:strike w:val="0"/>
          <w:color w:val="000000"/>
          <w:sz w:val="14"/>
          <w:szCs w:val="14"/>
          <w:u w:val="single"/>
          <w:shd w:fill="auto" w:val="clear"/>
          <w:vertAlign w:val="baseline"/>
          <w:rtl w:val="0"/>
        </w:rPr>
        <w:t xml:space="preserve">http://creativecommons.org/licenses/by-nc-sa/4.0/</w:t>
      </w:r>
    </w:hyperlink>
    <w:r w:rsidDel="00000000" w:rsidR="00000000" w:rsidRPr="00000000"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 </w:t>
      <w:tab/>
      <w:tab/>
    </w:r>
    <w:r w:rsidDel="00000000" w:rsidR="00000000" w:rsidRPr="00000000">
      <w:rPr>
        <w:rFonts w:ascii="Calibri" w:cs="Calibri" w:eastAsia="Calibri" w:hAnsi="Calibri"/>
        <w:b w:val="1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 xml:space="preserve">page </w:t>
    </w:r>
    <w:r w:rsidDel="00000000" w:rsidR="00000000" w:rsidRPr="00000000">
      <w:rPr>
        <w:rFonts w:ascii="Calibri" w:cs="Calibri" w:eastAsia="Calibri" w:hAnsi="Calibri"/>
        <w:b w:val="1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Calibri" w:cs="Calibri" w:eastAsia="Calibri" w:hAnsi="Calibri"/>
        <w:b w:val="1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ab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6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left"/>
      <w:rPr>
        <w:rFonts w:ascii="Cambria" w:cs="Cambria" w:eastAsia="Cambria" w:hAnsi="Cambria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E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center"/>
      <w:rPr>
        <w:rFonts w:ascii="BlairMdITC TT-Medium" w:cs="BlairMdITC TT-Medium" w:eastAsia="BlairMdITC TT-Medium" w:hAnsi="BlairMdITC TT-Medium"/>
        <w:b w:val="0"/>
        <w:i w:val="0"/>
        <w:smallCaps w:val="0"/>
        <w:strike w:val="0"/>
        <w:color w:val="000000"/>
        <w:sz w:val="10"/>
        <w:szCs w:val="10"/>
        <w:u w:val="none"/>
        <w:shd w:fill="auto" w:val="clear"/>
        <w:vertAlign w:val="baseline"/>
      </w:rPr>
    </w:pPr>
    <w:r w:rsidDel="00000000" w:rsidR="00000000" w:rsidRPr="00000000">
      <w:rPr>
        <w:rFonts w:ascii="BlairMdITC TT-Medium" w:cs="BlairMdITC TT-Medium" w:eastAsia="BlairMdITC TT-Medium" w:hAnsi="BlairMdITC TT-Medium"/>
        <w:b w:val="0"/>
        <w:i w:val="0"/>
        <w:smallCaps w:val="0"/>
        <w:strike w:val="0"/>
        <w:color w:val="000000"/>
        <w:sz w:val="10"/>
        <w:szCs w:val="10"/>
        <w:u w:val="none"/>
        <w:shd w:fill="auto" w:val="clear"/>
        <w:vertAlign w:val="baseline"/>
        <w:rtl w:val="0"/>
      </w:rPr>
      <w:t xml:space="preserve">Oxford University Software Engineering Programme</w:t>
    </w:r>
  </w:p>
  <w:p w:rsidR="00000000" w:rsidDel="00000000" w:rsidP="00000000" w:rsidRDefault="00000000" w:rsidRPr="00000000" w14:paraId="0000002F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center"/>
      <w:rPr>
        <w:rFonts w:ascii="BlairMdITC TT-Medium" w:cs="BlairMdITC TT-Medium" w:eastAsia="BlairMdITC TT-Medium" w:hAnsi="BlairMdITC TT-Medium"/>
        <w:b w:val="0"/>
        <w:i w:val="0"/>
        <w:smallCaps w:val="0"/>
        <w:strike w:val="0"/>
        <w:color w:val="000000"/>
        <w:sz w:val="10"/>
        <w:szCs w:val="10"/>
        <w:u w:val="none"/>
        <w:shd w:fill="auto" w:val="clear"/>
        <w:vertAlign w:val="baseline"/>
      </w:rPr>
    </w:pPr>
    <w:r w:rsidDel="00000000" w:rsidR="00000000" w:rsidRPr="00000000">
      <w:rPr>
        <w:rFonts w:ascii="BlairMdITC TT-Medium" w:cs="BlairMdITC TT-Medium" w:eastAsia="BlairMdITC TT-Medium" w:hAnsi="BlairMdITC TT-Medium"/>
        <w:b w:val="0"/>
        <w:i w:val="0"/>
        <w:smallCaps w:val="0"/>
        <w:strike w:val="0"/>
        <w:color w:val="000000"/>
        <w:sz w:val="10"/>
        <w:szCs w:val="10"/>
        <w:u w:val="none"/>
        <w:shd w:fill="auto" w:val="clear"/>
        <w:vertAlign w:val="baseline"/>
        <w:rtl w:val="0"/>
      </w:rPr>
      <w:t xml:space="preserve">MSc SOA Module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mbria" w:cs="Cambria" w:eastAsia="Cambria" w:hAnsi="Cambria"/>
        <w:sz w:val="24"/>
        <w:szCs w:val="24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footer" Target="footer2.xml"/><Relationship Id="rId11" Type="http://schemas.openxmlformats.org/officeDocument/2006/relationships/image" Target="media/image7.png"/><Relationship Id="rId10" Type="http://schemas.openxmlformats.org/officeDocument/2006/relationships/hyperlink" Target="http://localhost:8888/pay/services/paymentSOAP?wsdl" TargetMode="External"/><Relationship Id="rId21" Type="http://schemas.openxmlformats.org/officeDocument/2006/relationships/footer" Target="footer1.xml"/><Relationship Id="rId13" Type="http://schemas.openxmlformats.org/officeDocument/2006/relationships/image" Target="media/image4.png"/><Relationship Id="rId12" Type="http://schemas.openxmlformats.org/officeDocument/2006/relationships/image" Target="media/image1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5" Type="http://schemas.openxmlformats.org/officeDocument/2006/relationships/image" Target="media/image6.png"/><Relationship Id="rId14" Type="http://schemas.openxmlformats.org/officeDocument/2006/relationships/image" Target="media/image5.png"/><Relationship Id="rId17" Type="http://schemas.openxmlformats.org/officeDocument/2006/relationships/image" Target="media/image8.png"/><Relationship Id="rId16" Type="http://schemas.openxmlformats.org/officeDocument/2006/relationships/image" Target="media/image10.png"/><Relationship Id="rId5" Type="http://schemas.openxmlformats.org/officeDocument/2006/relationships/styles" Target="styles.xml"/><Relationship Id="rId19" Type="http://schemas.openxmlformats.org/officeDocument/2006/relationships/header" Target="header1.xml"/><Relationship Id="rId6" Type="http://schemas.openxmlformats.org/officeDocument/2006/relationships/hyperlink" Target="https://www.barclaycard.co.uk/business/accepting-payments/website-payments/web-developer-resources/smartpay#tabbox1" TargetMode="External"/><Relationship Id="rId18" Type="http://schemas.openxmlformats.org/officeDocument/2006/relationships/image" Target="media/image9.png"/><Relationship Id="rId7" Type="http://schemas.openxmlformats.org/officeDocument/2006/relationships/hyperlink" Target="http://localhost:8888/pay/services" TargetMode="External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ontserrat-regular.ttf"/><Relationship Id="rId2" Type="http://schemas.openxmlformats.org/officeDocument/2006/relationships/font" Target="fonts/Montserrat-bold.ttf"/><Relationship Id="rId3" Type="http://schemas.openxmlformats.org/officeDocument/2006/relationships/font" Target="fonts/Montserrat-italic.ttf"/><Relationship Id="rId4" Type="http://schemas.openxmlformats.org/officeDocument/2006/relationships/font" Target="fonts/Montserrat-boldItalic.ttf"/></Relationships>
</file>

<file path=word/_rels/footer2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Relationship Id="rId2" Type="http://schemas.openxmlformats.org/officeDocument/2006/relationships/hyperlink" Target="http://creativecommons.org/licenses/by-nc-sa/4.0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