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</w:pPr>
      <w:commentRangeStart w:id="0"/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Nikhi Boggavarapu</w:t>
      </w:r>
      <w:commentRangeEnd w:id="0"/>
      <w:r>
        <w:rPr>
          <w:rStyle w:val="CommentReference"/>
        </w:rPr>
        <w:commentReference w:id="0"/>
      </w:r>
    </w:p>
    <w:p>
      <w:pPr>
        <w:spacing w:line="480" w:lineRule="auto" w:after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Sam Kopelev</w:t>
      </w:r>
    </w:p>
    <w:p>
      <w:pPr>
        <w:spacing w:line="480" w:lineRule="auto" w:after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Piter Garcia</w:t>
      </w:r>
    </w:p>
    <w:p>
      <w:pPr>
        <w:spacing w:line="480" w:lineRule="auto" w:before="240" w:after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Introduction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●  Brief intro about high-throughput sequencing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RNA-seq as a transcriptome-wide method for detecting gene expression changes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Types of NGS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Organized by read length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application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Benefits of NGS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High throughput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fast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What our goal was: utilizing NGS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Unbiased, transcriptome-wide detection of gene expression changes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Introduce paper/dataset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Discussing methods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Experimental design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DRG after spinal cord injury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Goals of the paper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Why did they analyze DRG with cKO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Ipsilateral vs contralateral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FF / cre context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How we wanted to use the paper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Explore and confirm suggested pathways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FF/cre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Examine gene expression changes beyond the genes emphasized in the original paper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●  Claim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Differential expression (DE): transcriptome-wide RNA-seq helps identify genes involved beyond the ones the paper discussed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Key contrasts: expression differences were quantified across the main experimental comparisons, especially ipsilateral vs contralateral DRG, and genotype where relevant.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GO / pathway enrichment: DE gene sets were interpreted in terms of broader biological processes and pathways linked to injury response and the cKO context</w:t>
      </w:r>
    </w:p>
    <w:p>
      <w:r>
        <w:br w:type="page"/>
      </w:r>
    </w:p>
    <w:p>
      <w:pPr>
        <w:spacing w:line="480" w:lineRule="auto" w:before="240" w:after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Materials and Methods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●  Dataset and study design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Public dataset accession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Tissue and injury context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Sample groups and contrasts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Why was this subset retained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●  Pipeline Steps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Data Collection and Preprocessing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Download SRR (file type gz)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FASTQ organization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sample manifest/metadata table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Tools used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Data Quality Control and Trimming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Raw FastQC / MultiQC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FASTP trimming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Post-trim FastQC / MultiQC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key QC checkpoint metrics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Data Preparation (Alignment and count generation)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Reference genome and annotation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●  (mm39)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STAR index and alignment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●  building the STAR genome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●  paired-end alignment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GeneCounts output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BAM/log/count outputs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Family count matrix assembly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Data Analysis and Interpretation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MultiQC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Differential Expression Analysis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DESeq2 setup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DESeq2</w:t>
      </w:r>
    </w:p>
    <w:p>
      <w:pPr>
        <w:spacing w:line="480" w:lineRule="auto" w:after="0"/>
        <w:ind w:left="2808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Volcano Plot</w:t>
      </w:r>
    </w:p>
    <w:p>
      <w:pPr>
        <w:spacing w:line="480" w:lineRule="auto" w:after="0"/>
        <w:ind w:left="2808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Heatmap of Top DEGs (Regeneration-Enhancing)</w:t>
      </w:r>
    </w:p>
    <w:p>
      <w:pPr>
        <w:spacing w:line="480" w:lineRule="auto" w:after="0"/>
        <w:ind w:left="2808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MA plot</w:t>
      </w:r>
    </w:p>
    <w:p>
      <w:pPr>
        <w:spacing w:line="480" w:lineRule="auto" w:after="0"/>
        <w:ind w:left="2808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Target Validation (Gene Expression Boxplots)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●  Filtering rule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●  Modeled contrasts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●  Thresholds/significance criteria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Follow-up selection for functional interpretation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●  bend-point rule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GO analysis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GSEA analysis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Panther analysis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Extra analysis, if finalized</w:t>
      </w:r>
    </w:p>
    <w:p>
      <w:r>
        <w:br w:type="page"/>
      </w:r>
    </w:p>
    <w:p>
      <w:pPr>
        <w:spacing w:line="480" w:lineRule="auto" w:before="240" w:after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Results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Dataset quality supported downstream analysis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Number of samples, length (Requirements for the dataset)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Pre-Trim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GC content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Adapter sequences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Alignment stats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Unique mapping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●  The sample structure showed the strongest separation by the main biological contrast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PCA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Interpretation of PC1 / PC2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Genotype analysis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Differential expression identified the strongest transcriptomic changes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PCA (VERY IMPORTANT)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Explain how it is separated, PC1 and PC2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MA plot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Cumulative Distribution Plot (bend-point / elbow rule)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Volcano Plot (Important Genes)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Include a secondary Volcano Plot with a new threshold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Heatmap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Including the interpretation of the distance heatmap between the two conditions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●  Bend-point selection narrowed the main follow-up sets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Cumulative plot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Selected gene counts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Why this helped interpretation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Secondary volcano plot, if you keep it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●  Functional enrichment connected DE results to broader biology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GO / pathway results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Pathway level/Panther Analysis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Go through the plots listed by Panther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Proteostasis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Translation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Metabolism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*Extra analysis, once finalized*</w:t>
      </w:r>
    </w:p>
    <w:p>
      <w:r>
        <w:br w:type="page"/>
      </w:r>
    </w:p>
    <w:p>
      <w:pPr>
        <w:spacing w:line="480" w:lineRule="auto" w:before="240" w:after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Discussion ~ Discuss the biological interpretation more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●  Main biological interpretation (What does the data show)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What the data show overall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Strongest supported signal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What is primary vs secondary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Gene expression differences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Injury vs control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Pathways being affected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proteostasis (AhR activation)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translation (suppression/upregulation of genes)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■  metabolism (energy output)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●  What was unusual or needs caution (Things that were weird about the dataset to consider)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Odd volcano plots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The Genotype signal appears weaker / secondary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PCA collisions/overlap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■  interpretation vs causation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D8CCF0"/>
        </w:rPr>
        <w:t>○  Interpretation vs causation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What this adds beyond the original paper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Expands the analysis beyond the paper’s candidate genes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Helps link pathways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Proposed and new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Helps link the pathways already proposed in the paper with additional transcriptomic signals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Connects newly identified genes to the genes highlighted in the paper through broader transcriptomic patterns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Moves interpretation from single-gene emphasis toward pathway- and network-level context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NGS in the context of this paper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Global Discovery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Reproducibility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○  External Applications/Biological Relevance</w:t>
      </w:r>
    </w:p>
    <w:p>
      <w:pPr>
        <w:spacing w:line="480" w:lineRule="auto" w:after="0"/>
        <w:ind w:left="1656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■  How does our Global discovery connect to the gene found in the paper</w:t>
      </w:r>
    </w:p>
    <w:p>
      <w:pPr>
        <w:spacing w:line="480" w:lineRule="auto" w:after="0"/>
        <w:ind w:left="2232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C6E7B9"/>
        </w:rPr>
        <w:t>●  Two-hybrid screening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●  Future validation (What it suggests for future validation)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qPCR for key differentially expressed genes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Functional follow-up experiments for injury-response candidates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Two-hybrid screening only if it remains biologically justified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●  Limitations and cautions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Weaker genotype signal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PCA overlap/collisions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Dependence on the original dataset design</w:t>
      </w:r>
    </w:p>
    <w:p>
      <w:pPr>
        <w:spacing w:line="480" w:lineRule="auto" w:after="0"/>
        <w:ind w:left="1080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shd w:val="clear" w:color="auto" w:fill="F3D6D6"/>
        </w:rPr>
        <w:t>○  Interpretation vs causation</w:t>
      </w:r>
    </w:p>
    <w:p>
      <w:r>
        <w:br w:type="page"/>
      </w:r>
    </w:p>
    <w:p>
      <w:pPr>
        <w:spacing w:line="480" w:lineRule="auto" w:before="240" w:after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References (APA)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  Main Paper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  NGS overview/background sources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  Additional papers using or reviewing NGS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  Background sources for the mouse study</w:t>
      </w:r>
    </w:p>
    <w:p>
      <w:pPr>
        <w:spacing w:line="480" w:lineRule="auto" w:before="240" w:after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Code Availability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  Git repository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  Notebook(s)</w:t>
      </w:r>
    </w:p>
    <w:p>
      <w:pPr>
        <w:spacing w:line="480" w:lineRule="auto" w:before="240" w:after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Source Data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  CSVs / tables supporting plots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  Data frames / exported tables</w:t>
      </w:r>
    </w:p>
    <w:p>
      <w:pPr>
        <w:spacing w:line="480" w:lineRule="auto" w:before="240" w:after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Supplemental Material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  Full figure set</w:t>
      </w:r>
    </w:p>
    <w:p>
      <w:pPr>
        <w:spacing w:line="480" w:lineRule="auto" w:after="0"/>
        <w:ind w:left="504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  Additional supporting outputs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penAI" w:initials="OA" w:date="2026-04-09T03:32:59Z">
    <w:p>
      <w:pPr>
        <w:pStyle w:val="CommentText"/>
      </w:pPr>
      <w:r>
        <w:rPr>
          <w:rStyle w:val="CommentReference"/>
        </w:rPr>
        <w:annotationRef/>
      </w:r>
      <w:r>
        <w:t>Revision colors: Nikhi Boggavarapu = light purple; Sam Kopelev = light green; Piter Garcia = light red. Updated to match the latest shared ownership PDF.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