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40"/>
        <w:jc w:val="center"/>
      </w:pPr>
      <w:r>
        <w:rPr>
          <w:rFonts w:ascii="Times New Roman" w:hAnsi="Times New Roman"/>
          <w:b/>
          <w:i w:val="0"/>
          <w:sz w:val="32"/>
        </w:rPr>
        <w:t>HTSA Group Paper Outline</w:t>
      </w:r>
    </w:p>
    <w:p>
      <w:pPr>
        <w:spacing w:line="480" w:lineRule="auto" w:after="40" w:before="40"/>
        <w:jc w:val="center"/>
      </w:pPr>
      <w:r>
        <w:rPr>
          <w:rFonts w:ascii="Times New Roman" w:hAnsi="Times New Roman"/>
          <w:b w:val="0"/>
          <w:i w:val="0"/>
          <w:sz w:val="24"/>
        </w:rPr>
        <w:t>BIOL550 Group Project (Draft 1)</w:t>
      </w:r>
    </w:p>
    <w:p>
      <w:pPr>
        <w:spacing w:line="480" w:lineRule="auto" w:after="280" w:before="40"/>
        <w:jc w:val="center"/>
      </w:pPr>
      <w:r>
        <w:rPr>
          <w:rFonts w:ascii="Times New Roman" w:hAnsi="Times New Roman"/>
          <w:b w:val="0"/>
          <w:i w:val="0"/>
          <w:sz w:val="24"/>
        </w:rPr>
        <w:t>Nikhi Boggavarapu</w:t>
      </w:r>
      <w:r>
        <w:t xml:space="preserve"> | </w:t>
      </w:r>
      <w:r>
        <w:rPr>
          <w:rFonts w:ascii="Times New Roman" w:hAnsi="Times New Roman"/>
          <w:b w:val="0"/>
          <w:i w:val="0"/>
          <w:sz w:val="24"/>
        </w:rPr>
        <w:t>Sam Kopelev</w:t>
      </w:r>
      <w:r>
        <w:t xml:space="preserve"> | </w:t>
      </w:r>
      <w:r>
        <w:rPr>
          <w:rFonts w:ascii="Times New Roman" w:hAnsi="Times New Roman"/>
          <w:b w:val="0"/>
          <w:i w:val="0"/>
          <w:sz w:val="24"/>
        </w:rPr>
        <w:t>Piter Garcia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6696"/>
      </w:tblGrid>
      <w:tr>
        <w:tc>
          <w:tcPr>
            <w:tcW w:type="dxa" w:w="2232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Member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Note</w:t>
            </w:r>
          </w:p>
        </w:tc>
      </w:tr>
      <w:tr>
        <w:tc>
          <w:tcPr>
            <w:tcW w:type="dxa" w:w="2232"/>
            <w:shd w:val="clear" w:color="auto" w:fill="D9D2E9"/>
          </w:tcPr>
          <w:p>
            <w:pPr>
              <w:spacing w:line="480" w:lineRule="auto"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Nikhi Boggavarapu</w:t>
            </w:r>
          </w:p>
        </w:tc>
        <w:tc>
          <w:tcPr>
            <w:tcW w:type="dxa" w:w="6696"/>
            <w:shd w:val="clear" w:color="auto" w:fill="D9D2E9"/>
          </w:tcPr>
          <w:p>
            <w:pPr>
              <w:spacing w:line="480" w:lineRule="auto"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Highlighted text in light purple indicates Nikhi's contribution.</w:t>
            </w:r>
          </w:p>
        </w:tc>
      </w:tr>
      <w:tr>
        <w:tc>
          <w:tcPr>
            <w:tcW w:type="dxa" w:w="2232"/>
            <w:shd w:val="clear" w:color="auto" w:fill="B6D7A8"/>
          </w:tcPr>
          <w:p>
            <w:pPr>
              <w:spacing w:line="480" w:lineRule="auto"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Sam Kopelev</w:t>
            </w:r>
          </w:p>
        </w:tc>
        <w:tc>
          <w:tcPr>
            <w:tcW w:type="dxa" w:w="6696"/>
            <w:shd w:val="clear" w:color="auto" w:fill="B6D7A8"/>
          </w:tcPr>
          <w:p>
            <w:pPr>
              <w:spacing w:line="480" w:lineRule="auto"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Highlighted text in light green indicates Sam's contribution.</w:t>
            </w:r>
          </w:p>
        </w:tc>
      </w:tr>
      <w:tr>
        <w:tc>
          <w:tcPr>
            <w:tcW w:type="dxa" w:w="2232"/>
            <w:shd w:val="clear" w:color="auto" w:fill="F4CCCC"/>
          </w:tcPr>
          <w:p>
            <w:pPr>
              <w:spacing w:line="480" w:lineRule="auto"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Piter Garcia</w:t>
            </w:r>
          </w:p>
        </w:tc>
        <w:tc>
          <w:tcPr>
            <w:tcW w:type="dxa" w:w="6696"/>
            <w:shd w:val="clear" w:color="auto" w:fill="F4CCCC"/>
          </w:tcPr>
          <w:p>
            <w:pPr>
              <w:spacing w:line="480" w:lineRule="auto"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Highlighted text in light red indicates Piter's contribution.</w:t>
            </w:r>
          </w:p>
        </w:tc>
      </w:tr>
    </w:tbl>
    <w:p>
      <w:pPr>
        <w:spacing w:after="320"/>
      </w:pPr>
    </w:p>
    <w:p>
      <w:pPr>
        <w:pStyle w:val="Heading1"/>
        <w:spacing w:line="480" w:lineRule="auto" w:before="200" w:after="40"/>
      </w:pPr>
      <w:r>
        <w:rPr>
          <w:rFonts w:ascii="Times New Roman" w:hAnsi="Times New Roman"/>
          <w:b/>
          <w:i w:val="0"/>
          <w:sz w:val="26"/>
        </w:rPr>
        <w:t>Introduction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Brief intro about high-throughput sequencing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RNA-seq as a transcriptome-wide method for detecting gene expression changes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Types of NGS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Organized by read length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Applications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Benefits of NGS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High throughput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Fast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What our goal was in utilizing NGS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Unbiased, transcriptome-wide detection of gene expression changes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Introduce paper/dataset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Experimental design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DRG after spinal cord injury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Goals of the paper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Why did they analyze DRG with cKO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Ipsilateral vs contralateral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FF / cre context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How we wanted to use the paper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Explore and confirm suggested pathways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FF / cre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Examine gene expression changes beyond the genes emphasized in the original paper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Claim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 xml:space="preserve">Differential expression (DE): </w:t>
      </w: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transcriptome-wide RNA-seq helps identify genes involved beyond the ones the paper discussed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 xml:space="preserve">Key contrasts: </w:t>
      </w: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expression differences were quantified across the main experimental comparisons, especially ipsilateral vs contralateral DRG, and genotype where relevant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 xml:space="preserve">GO / pathway enrichment: </w:t>
      </w: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DE gene sets were interpreted in terms of broader biological processes and pathways linked to injury response and the cKO context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Materials and Methods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Dataset and study design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Public dataset accession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Tissue and injury context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Sample groups and contrasts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Why was this subset retained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Pipeline Steps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Data Collection and Preprocessing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Download SRR files (`.gz`)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FASTQ organization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Sample manifest / metadata table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Tools used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Data Quality Control and Trimming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Raw FastQC / MultiQC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FASTP trimming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Post-trim FastQC / MultiQC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Key QC checkpoint metrics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Data Preparation (Alignment and count generation)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Reference genome and annotation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(mm39)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STAR index and alignment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Building the STAR genome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Paired-end alignment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GeneCounts output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BAM / log / count outputs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Family count matrix assembly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Data Analysis and Interpretation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MultiQC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Differential Expression Analysis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DESeq2 setup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DESeq2</w:t>
      </w:r>
    </w:p>
    <w:p>
      <w:pPr>
        <w:pStyle w:val="ListBullet3"/>
        <w:spacing w:line="480" w:lineRule="auto" w:after="0"/>
        <w:ind w:left="180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Volcano plot</w:t>
      </w:r>
    </w:p>
    <w:p>
      <w:pPr>
        <w:pStyle w:val="ListBullet3"/>
        <w:spacing w:line="480" w:lineRule="auto" w:after="0"/>
        <w:ind w:left="180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Heatmap of top DEGs (Regeneration-Enhancing)</w:t>
      </w:r>
    </w:p>
    <w:p>
      <w:pPr>
        <w:pStyle w:val="ListBullet3"/>
        <w:spacing w:line="480" w:lineRule="auto" w:after="0"/>
        <w:ind w:left="180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MA plot</w:t>
      </w:r>
    </w:p>
    <w:p>
      <w:pPr>
        <w:pStyle w:val="ListBullet3"/>
        <w:spacing w:line="480" w:lineRule="auto" w:after="0"/>
        <w:ind w:left="180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Target validation (gene expression boxplots)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Filtering rule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Modeled contrasts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Thresholds / significance criteria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Follow-up selection for functional interpretation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Bend-point rule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GO analysis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GSEA analysis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Panther analysis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Extra analysis, if finalized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Results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Dataset quality supported downstream analysis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Number of samples and read structure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Pre-trim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GC content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Adapter sequences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Alignment stats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Unique mapping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The sample structure showed the strongest separation by the main biological contrast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PCA (key figure)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Interpretation of PC1 / PC2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Genotype analysis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Differential expression identified the strongest transcriptomic changes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PCA (key figure)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Explain how it is separated, PC1 and PC2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MA plot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Cumulative Distribution Plot (bend-point / elbow rule)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Volcano Plot (Important Genes)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Include a secondary Volcano Plot with a new threshold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Heatmap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Including the interpretation of the distance heatmap between the two conditions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Bend-point selection narrowed the main follow-up sets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Cumulative plot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Selected gene counts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Why this helped interpretation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Secondary volcano plot, if you keep it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Functional enrichment connected DE results to broader biology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GO / pathway results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Pathway level / Panther analysis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Go through the plots listed by Panther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Proteostasis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Translation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Metabolism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Extra analysis, once finalized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Discussion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Main biological interpretation (what does the data show)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What the data show overall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Strongest supported signal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What is primary vs secondary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Gene expression differences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Injury vs control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Pathways being affected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Proteostasis (AhR activation)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Translation (suppression / upregulation of genes)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Metabolism (energy output)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What was unusual or needs caution (things that were weird about the dataset to consider)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Odd volcano plots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The genotype signal appears weaker / secondary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PCA collisions / overlap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D9D2E9"/>
        </w:rPr>
        <w:t>Interpretation vs causation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What this adds beyond the original paper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Expands the analysis beyond the paper’s candidate genes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Helps link pathways</w:t>
      </w:r>
    </w:p>
    <w:p>
      <w:pPr>
        <w:pStyle w:val="ListBullet3"/>
        <w:spacing w:line="480" w:lineRule="auto" w:after="0"/>
        <w:ind w:left="144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Proposed and new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Helps link the pathways already proposed in the paper with additional transcriptomic signals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Connects newly identified genes to the genes highlighted in the paper through broader transcriptomic patterns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Moves interpretation from single-gene emphasis toward pathway- and network-level context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NGS in the context of this paper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Global discovery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Reproducibility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External applications / biological relevance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How does our global discovery connect to the genes found in the paper</w:t>
      </w:r>
    </w:p>
    <w:p>
      <w:pPr>
        <w:pStyle w:val="ListBullet3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B6D7A8"/>
        </w:rPr>
        <w:t>Two-hybrid screening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Future validation (what it suggests for future validation)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qPCR for key differentially expressed genes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Functional follow-up experiments for injury-response candidates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Two-hybrid screening only if it remains biologically justified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Limitations and cautions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Weaker genotype signal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PCA overlap / collisions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Dependence on the original dataset design</w:t>
      </w:r>
    </w:p>
    <w:p>
      <w:pPr>
        <w:pStyle w:val="ListBullet2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shd w:val="clear" w:color="auto" w:fill="F4CCCC"/>
        </w:rPr>
        <w:t>Interpretation vs causation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References (APA)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  <w:u w:val="single"/>
        </w:rPr>
        <w:t>Main Paper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NGS overview / background sources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Additional papers using or reviewing NGS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Background sources for the mouse study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Minimum of 15 primary sources in the final paper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Code Availability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Git repository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Notebook(s)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Source Data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CSVs / tables supporting plots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Data frames / exported tables</w:t>
      </w:r>
    </w:p>
    <w:p>
      <w:pPr>
        <w:pStyle w:val="Heading1"/>
        <w:spacing w:line="480" w:lineRule="auto" w:before="80" w:after="0"/>
      </w:pPr>
      <w:r>
        <w:rPr>
          <w:rFonts w:ascii="Times New Roman" w:hAnsi="Times New Roman"/>
          <w:b/>
          <w:i w:val="0"/>
          <w:sz w:val="26"/>
        </w:rPr>
        <w:t>Supplemental Material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Full figure set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b w:val="0"/>
          <w:i w:val="0"/>
          <w:sz w:val="24"/>
        </w:rPr>
        <w:t>Additional supporting outputs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b w:val="0"/>
        <w:i w:val="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