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A7F1F" w14:textId="26C9E707" w:rsidR="00601F7A" w:rsidRPr="00E003EC" w:rsidRDefault="00000000">
      <w:pPr>
        <w:jc w:val="center"/>
        <w:rPr>
          <w:rFonts w:cs="Times New Roman"/>
          <w:color w:val="000000" w:themeColor="text1"/>
        </w:rPr>
      </w:pPr>
      <w:r w:rsidRPr="00E003EC">
        <w:rPr>
          <w:rFonts w:cs="Times New Roman"/>
          <w:b/>
          <w:color w:val="000000" w:themeColor="text1"/>
          <w:sz w:val="32"/>
        </w:rPr>
        <w:t>HTSA Group Paper Outline</w:t>
      </w:r>
    </w:p>
    <w:p w14:paraId="0FEBC339" w14:textId="6EDF84A8" w:rsidR="00601F7A" w:rsidRPr="00E003EC" w:rsidRDefault="00000000">
      <w:pPr>
        <w:jc w:val="center"/>
        <w:rPr>
          <w:rFonts w:cs="Times New Roman"/>
          <w:color w:val="000000" w:themeColor="text1"/>
        </w:rPr>
      </w:pPr>
      <w:r w:rsidRPr="00E003EC">
        <w:rPr>
          <w:rFonts w:cs="Times New Roman"/>
          <w:color w:val="000000" w:themeColor="text1"/>
        </w:rPr>
        <w:t>BIOL550 Group Project (</w:t>
      </w:r>
      <w:r w:rsidR="009D2354" w:rsidRPr="00E003EC">
        <w:rPr>
          <w:rFonts w:cs="Times New Roman"/>
          <w:color w:val="000000" w:themeColor="text1"/>
        </w:rPr>
        <w:t>Draft 1</w:t>
      </w:r>
      <w:r w:rsidRPr="00E003EC">
        <w:rPr>
          <w:rFonts w:cs="Times New Roman"/>
          <w:color w:val="000000" w:themeColor="text1"/>
        </w:rPr>
        <w:t>)</w:t>
      </w:r>
    </w:p>
    <w:p w14:paraId="62AD17F4" w14:textId="77777777" w:rsidR="00601F7A" w:rsidRPr="00E003EC" w:rsidRDefault="00000000">
      <w:pPr>
        <w:spacing w:after="200"/>
        <w:jc w:val="center"/>
        <w:rPr>
          <w:rFonts w:cs="Times New Roman"/>
          <w:color w:val="000000" w:themeColor="text1"/>
        </w:rPr>
      </w:pPr>
      <w:r w:rsidRPr="00E003EC">
        <w:rPr>
          <w:rFonts w:cs="Times New Roman"/>
          <w:color w:val="000000" w:themeColor="text1"/>
        </w:rPr>
        <w:t>Nikhi Boggavarapu | Sam Kopelev | Piter Garcia</w:t>
      </w:r>
    </w:p>
    <w:p w14:paraId="7B76FB96" w14:textId="77777777" w:rsidR="007E10D1" w:rsidRPr="00E003EC" w:rsidRDefault="007E10D1">
      <w:pPr>
        <w:spacing w:after="200"/>
        <w:jc w:val="center"/>
        <w:rPr>
          <w:rFonts w:cs="Times New Roman"/>
          <w:color w:val="000000" w:themeColor="text1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6696"/>
      </w:tblGrid>
      <w:tr w:rsidR="00601F7A" w:rsidRPr="00E003EC" w14:paraId="1FDFF506" w14:textId="77777777">
        <w:tc>
          <w:tcPr>
            <w:tcW w:w="2232" w:type="dxa"/>
          </w:tcPr>
          <w:p w14:paraId="257CD8F7" w14:textId="77777777" w:rsidR="00601F7A" w:rsidRPr="00E003EC" w:rsidRDefault="00000000">
            <w:pPr>
              <w:rPr>
                <w:rFonts w:cs="Times New Roman"/>
                <w:color w:val="000000" w:themeColor="text1"/>
              </w:rPr>
            </w:pPr>
            <w:r w:rsidRPr="00E003EC">
              <w:rPr>
                <w:rFonts w:cs="Times New Roman"/>
                <w:b/>
                <w:color w:val="000000" w:themeColor="text1"/>
              </w:rPr>
              <w:t>Member</w:t>
            </w:r>
          </w:p>
        </w:tc>
        <w:tc>
          <w:tcPr>
            <w:tcW w:w="6696" w:type="dxa"/>
          </w:tcPr>
          <w:p w14:paraId="419C2FBB" w14:textId="77777777" w:rsidR="00601F7A" w:rsidRPr="00E003EC" w:rsidRDefault="00000000">
            <w:pPr>
              <w:rPr>
                <w:rFonts w:cs="Times New Roman"/>
                <w:color w:val="000000" w:themeColor="text1"/>
              </w:rPr>
            </w:pPr>
            <w:r w:rsidRPr="00E003EC">
              <w:rPr>
                <w:rFonts w:cs="Times New Roman"/>
                <w:b/>
                <w:color w:val="000000" w:themeColor="text1"/>
              </w:rPr>
              <w:t>Note</w:t>
            </w:r>
          </w:p>
        </w:tc>
      </w:tr>
      <w:tr w:rsidR="00601F7A" w:rsidRPr="00E003EC" w14:paraId="2F5B0FA0" w14:textId="77777777">
        <w:tc>
          <w:tcPr>
            <w:tcW w:w="2232" w:type="dxa"/>
            <w:shd w:val="clear" w:color="auto" w:fill="D9D2E9"/>
          </w:tcPr>
          <w:p w14:paraId="6DC7A3B8" w14:textId="77777777" w:rsidR="00601F7A" w:rsidRPr="00E003EC" w:rsidRDefault="00000000">
            <w:pPr>
              <w:rPr>
                <w:rFonts w:cs="Times New Roman"/>
                <w:color w:val="000000" w:themeColor="text1"/>
              </w:rPr>
            </w:pPr>
            <w:r w:rsidRPr="00E003EC">
              <w:rPr>
                <w:rFonts w:cs="Times New Roman"/>
                <w:color w:val="000000" w:themeColor="text1"/>
              </w:rPr>
              <w:t>Nikhi Boggavarapu</w:t>
            </w:r>
          </w:p>
        </w:tc>
        <w:tc>
          <w:tcPr>
            <w:tcW w:w="6696" w:type="dxa"/>
            <w:shd w:val="clear" w:color="auto" w:fill="D9D2E9"/>
          </w:tcPr>
          <w:p w14:paraId="1EE0C10F" w14:textId="77777777" w:rsidR="00601F7A" w:rsidRPr="00E003EC" w:rsidRDefault="00000000">
            <w:pPr>
              <w:rPr>
                <w:rFonts w:cs="Times New Roman"/>
                <w:color w:val="000000" w:themeColor="text1"/>
              </w:rPr>
            </w:pPr>
            <w:r w:rsidRPr="00E003EC">
              <w:rPr>
                <w:rFonts w:cs="Times New Roman"/>
                <w:color w:val="000000" w:themeColor="text1"/>
              </w:rPr>
              <w:t>Highlighted text in light purple indicates Nikhi's contribution.</w:t>
            </w:r>
          </w:p>
        </w:tc>
      </w:tr>
      <w:tr w:rsidR="00601F7A" w:rsidRPr="00E003EC" w14:paraId="168B726C" w14:textId="77777777">
        <w:tc>
          <w:tcPr>
            <w:tcW w:w="2232" w:type="dxa"/>
            <w:shd w:val="clear" w:color="auto" w:fill="B6D7A8"/>
          </w:tcPr>
          <w:p w14:paraId="53734949" w14:textId="77777777" w:rsidR="00601F7A" w:rsidRPr="00E003EC" w:rsidRDefault="00000000">
            <w:pPr>
              <w:rPr>
                <w:rFonts w:cs="Times New Roman"/>
                <w:color w:val="000000" w:themeColor="text1"/>
              </w:rPr>
            </w:pPr>
            <w:r w:rsidRPr="00E003EC">
              <w:rPr>
                <w:rFonts w:cs="Times New Roman"/>
                <w:color w:val="000000" w:themeColor="text1"/>
              </w:rPr>
              <w:t>Sam Kopelev</w:t>
            </w:r>
          </w:p>
        </w:tc>
        <w:tc>
          <w:tcPr>
            <w:tcW w:w="6696" w:type="dxa"/>
            <w:shd w:val="clear" w:color="auto" w:fill="B6D7A8"/>
          </w:tcPr>
          <w:p w14:paraId="08CF5F66" w14:textId="77777777" w:rsidR="00601F7A" w:rsidRPr="00E003EC" w:rsidRDefault="00000000">
            <w:pPr>
              <w:rPr>
                <w:rFonts w:cs="Times New Roman"/>
                <w:color w:val="000000" w:themeColor="text1"/>
              </w:rPr>
            </w:pPr>
            <w:r w:rsidRPr="00E003EC">
              <w:rPr>
                <w:rFonts w:cs="Times New Roman"/>
                <w:color w:val="000000" w:themeColor="text1"/>
              </w:rPr>
              <w:t>Highlighted text in light green indicates Sam's contribution.</w:t>
            </w:r>
          </w:p>
        </w:tc>
      </w:tr>
      <w:tr w:rsidR="00601F7A" w:rsidRPr="00E003EC" w14:paraId="7E7625C5" w14:textId="77777777">
        <w:tc>
          <w:tcPr>
            <w:tcW w:w="2232" w:type="dxa"/>
            <w:shd w:val="clear" w:color="auto" w:fill="F4CCCC"/>
          </w:tcPr>
          <w:p w14:paraId="7EB14CB5" w14:textId="77777777" w:rsidR="00601F7A" w:rsidRPr="00E003EC" w:rsidRDefault="00000000">
            <w:pPr>
              <w:rPr>
                <w:rFonts w:cs="Times New Roman"/>
                <w:color w:val="000000" w:themeColor="text1"/>
              </w:rPr>
            </w:pPr>
            <w:r w:rsidRPr="00E003EC">
              <w:rPr>
                <w:rFonts w:cs="Times New Roman"/>
                <w:color w:val="000000" w:themeColor="text1"/>
              </w:rPr>
              <w:t>Piter Garcia</w:t>
            </w:r>
          </w:p>
        </w:tc>
        <w:tc>
          <w:tcPr>
            <w:tcW w:w="6696" w:type="dxa"/>
            <w:shd w:val="clear" w:color="auto" w:fill="F4CCCC"/>
          </w:tcPr>
          <w:p w14:paraId="72D8B3C9" w14:textId="77777777" w:rsidR="00601F7A" w:rsidRPr="00E003EC" w:rsidRDefault="00000000">
            <w:pPr>
              <w:rPr>
                <w:rFonts w:cs="Times New Roman"/>
                <w:color w:val="000000" w:themeColor="text1"/>
              </w:rPr>
            </w:pPr>
            <w:r w:rsidRPr="00E003EC">
              <w:rPr>
                <w:rFonts w:cs="Times New Roman"/>
                <w:color w:val="000000" w:themeColor="text1"/>
              </w:rPr>
              <w:t>Highlighted text in light red indicates Piter's contribution.</w:t>
            </w:r>
          </w:p>
        </w:tc>
      </w:tr>
    </w:tbl>
    <w:p w14:paraId="1593EB3C" w14:textId="77777777" w:rsidR="00601F7A" w:rsidRPr="00E003EC" w:rsidRDefault="00601F7A">
      <w:pPr>
        <w:spacing w:after="200"/>
        <w:rPr>
          <w:rFonts w:cs="Times New Roman"/>
          <w:color w:val="000000" w:themeColor="text1"/>
        </w:rPr>
      </w:pPr>
    </w:p>
    <w:p w14:paraId="461AB7D8" w14:textId="77777777" w:rsidR="007E10D1" w:rsidRPr="00E003EC" w:rsidRDefault="007E10D1">
      <w:pPr>
        <w:spacing w:after="200"/>
        <w:rPr>
          <w:rFonts w:cs="Times New Roman"/>
          <w:color w:val="000000" w:themeColor="text1"/>
        </w:rPr>
      </w:pPr>
    </w:p>
    <w:p w14:paraId="66B4093A" w14:textId="77777777" w:rsidR="00601F7A" w:rsidRPr="009C6652" w:rsidRDefault="00000000" w:rsidP="009D235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6652">
        <w:rPr>
          <w:rFonts w:ascii="Times New Roman" w:hAnsi="Times New Roman" w:cs="Times New Roman"/>
          <w:color w:val="000000" w:themeColor="text1"/>
          <w:sz w:val="24"/>
          <w:szCs w:val="24"/>
        </w:rPr>
        <w:t>Introduction</w:t>
      </w:r>
    </w:p>
    <w:p w14:paraId="23D2EB43" w14:textId="77777777" w:rsidR="00601F7A" w:rsidRPr="00E003EC" w:rsidRDefault="00000000" w:rsidP="00411E2A">
      <w:pPr>
        <w:pStyle w:val="ListBullet2"/>
        <w:rPr>
          <w:color w:val="000000" w:themeColor="text1"/>
        </w:rPr>
      </w:pPr>
      <w:r w:rsidRPr="00E003EC">
        <w:rPr>
          <w:color w:val="000000" w:themeColor="text1"/>
        </w:rPr>
        <w:t>Brief intro about high-throughput sequencing</w:t>
      </w:r>
    </w:p>
    <w:p w14:paraId="6D98201C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color w:val="000000" w:themeColor="text1"/>
          <w:sz w:val="20"/>
          <w:szCs w:val="20"/>
        </w:rPr>
      </w:pPr>
      <w:r w:rsidRPr="00D8440B">
        <w:rPr>
          <w:color w:val="000000" w:themeColor="text1"/>
          <w:sz w:val="20"/>
          <w:szCs w:val="20"/>
          <w:shd w:val="clear" w:color="auto" w:fill="F4CCCC"/>
        </w:rPr>
        <w:t>RNA-seq as a transcriptome-wide method for detecting gene expression changes</w:t>
      </w:r>
    </w:p>
    <w:p w14:paraId="0014C9E9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Types of NGS</w:t>
      </w:r>
    </w:p>
    <w:p w14:paraId="3892AD29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Organized by read length</w:t>
      </w:r>
    </w:p>
    <w:p w14:paraId="6E09DC9A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Applications</w:t>
      </w:r>
    </w:p>
    <w:p w14:paraId="0B60FE34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Benefits of NGS</w:t>
      </w:r>
    </w:p>
    <w:p w14:paraId="2304C6EB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High throughput</w:t>
      </w:r>
    </w:p>
    <w:p w14:paraId="094FD76D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Fast</w:t>
      </w:r>
    </w:p>
    <w:p w14:paraId="570830F6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What our goal was in utilizing NGS</w:t>
      </w:r>
    </w:p>
    <w:p w14:paraId="704B2854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Unbiased, transcriptome-wide detection of gene expression changes</w:t>
      </w:r>
    </w:p>
    <w:p w14:paraId="6E19D7A8" w14:textId="77777777" w:rsidR="00D8440B" w:rsidRDefault="00D8440B">
      <w:pPr>
        <w:spacing w:after="200" w:line="276" w:lineRule="auto"/>
        <w:rPr>
          <w:rFonts w:cs="Times New Roman"/>
          <w:color w:val="000000" w:themeColor="text1"/>
          <w:shd w:val="clear" w:color="auto" w:fill="B6D7A8"/>
        </w:rPr>
      </w:pPr>
      <w:r>
        <w:rPr>
          <w:shd w:val="clear" w:color="auto" w:fill="B6D7A8"/>
        </w:rPr>
        <w:br w:type="page"/>
      </w:r>
    </w:p>
    <w:p w14:paraId="0E570BFD" w14:textId="1D7D61B3" w:rsidR="00601F7A" w:rsidRPr="00E003EC" w:rsidRDefault="00000000" w:rsidP="00411E2A">
      <w:pPr>
        <w:pStyle w:val="Heading2"/>
        <w:tabs>
          <w:tab w:val="clear" w:pos="360"/>
          <w:tab w:val="num" w:pos="720"/>
        </w:tabs>
        <w:ind w:left="720"/>
      </w:pPr>
      <w:r w:rsidRPr="00E003EC">
        <w:rPr>
          <w:shd w:val="clear" w:color="auto" w:fill="B6D7A8"/>
        </w:rPr>
        <w:lastRenderedPageBreak/>
        <w:t>Introduce paper/dataset</w:t>
      </w:r>
    </w:p>
    <w:p w14:paraId="3C73AAEC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>Experimental design</w:t>
      </w:r>
    </w:p>
    <w:p w14:paraId="3C70FA8C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>DRG after spinal cord injury</w:t>
      </w:r>
    </w:p>
    <w:p w14:paraId="5548AC64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>Goals of the paper</w:t>
      </w:r>
    </w:p>
    <w:p w14:paraId="600A68DE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>Why did they analyze DRG with cKO</w:t>
      </w:r>
    </w:p>
    <w:p w14:paraId="0A66061C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>Ipsilateral vs contralateral</w:t>
      </w:r>
    </w:p>
    <w:p w14:paraId="07052483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FF / cre context</w:t>
      </w:r>
    </w:p>
    <w:p w14:paraId="6B565BE0" w14:textId="77777777" w:rsidR="00601F7A" w:rsidRPr="00E003EC" w:rsidRDefault="00000000" w:rsidP="00411E2A">
      <w:pPr>
        <w:pStyle w:val="Heading2"/>
        <w:tabs>
          <w:tab w:val="clear" w:pos="360"/>
          <w:tab w:val="num" w:pos="720"/>
        </w:tabs>
        <w:ind w:left="720"/>
      </w:pPr>
      <w:r w:rsidRPr="00E003EC">
        <w:rPr>
          <w:shd w:val="clear" w:color="auto" w:fill="B6D7A8"/>
        </w:rPr>
        <w:t>How we wanted to use the paper</w:t>
      </w:r>
    </w:p>
    <w:p w14:paraId="5084CB77" w14:textId="3929E0B9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>Explore and confirm suggested pathways</w:t>
      </w:r>
      <w:r w:rsidR="007E10D1"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 xml:space="preserve"> (</w:t>
      </w: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 xml:space="preserve">FF / </w:t>
      </w:r>
      <w:proofErr w:type="spellStart"/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>cre</w:t>
      </w:r>
      <w:proofErr w:type="spellEnd"/>
      <w:r w:rsidR="007E10D1"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>)</w:t>
      </w:r>
    </w:p>
    <w:p w14:paraId="117E6D53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>Examine gene expression changes beyond the genes emphasized in the original paper</w:t>
      </w:r>
    </w:p>
    <w:p w14:paraId="3A34BB81" w14:textId="77777777" w:rsidR="00601F7A" w:rsidRPr="00E003EC" w:rsidRDefault="00000000" w:rsidP="00411E2A">
      <w:pPr>
        <w:pStyle w:val="Heading2"/>
        <w:tabs>
          <w:tab w:val="clear" w:pos="360"/>
          <w:tab w:val="num" w:pos="720"/>
        </w:tabs>
        <w:ind w:left="720"/>
      </w:pPr>
      <w:r w:rsidRPr="00E003EC">
        <w:rPr>
          <w:shd w:val="clear" w:color="auto" w:fill="F4CCCC"/>
        </w:rPr>
        <w:t>Claim</w:t>
      </w:r>
    </w:p>
    <w:p w14:paraId="140A201A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i/>
          <w:iCs/>
          <w:color w:val="000000" w:themeColor="text1"/>
          <w:sz w:val="20"/>
          <w:szCs w:val="20"/>
          <w:shd w:val="clear" w:color="auto" w:fill="F4CCCC"/>
        </w:rPr>
        <w:t>Differential expression (DE):</w:t>
      </w: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 xml:space="preserve"> transcriptome-wide RNA-seq helps identify genes involved beyond the ones the paper discussed</w:t>
      </w:r>
    </w:p>
    <w:p w14:paraId="637E4FEC" w14:textId="4707E52C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i/>
          <w:iCs/>
          <w:color w:val="000000" w:themeColor="text1"/>
          <w:sz w:val="20"/>
          <w:szCs w:val="20"/>
          <w:shd w:val="clear" w:color="auto" w:fill="F4CCCC"/>
        </w:rPr>
        <w:t>Key contrasts:</w:t>
      </w: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 xml:space="preserve"> </w:t>
      </w:r>
      <w:r w:rsidR="00411E2A"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expression differences were quantified across the main experimental comparisons, especially ipsilateral vs contralateral DRG, with genotype as relevant.</w:t>
      </w:r>
    </w:p>
    <w:p w14:paraId="7FCCFFB3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i/>
          <w:iCs/>
          <w:color w:val="000000" w:themeColor="text1"/>
          <w:sz w:val="20"/>
          <w:szCs w:val="20"/>
          <w:shd w:val="clear" w:color="auto" w:fill="F4CCCC"/>
        </w:rPr>
        <w:t>GO / pathway enrichment:</w:t>
      </w: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 xml:space="preserve"> DE gene sets were interpreted in terms of broader biological processes and pathways linked to injury response and the cKO context</w:t>
      </w:r>
    </w:p>
    <w:p w14:paraId="09DFC8F2" w14:textId="77777777" w:rsidR="00D8440B" w:rsidRDefault="00D8440B">
      <w:pPr>
        <w:spacing w:after="200" w:line="276" w:lineRule="auto"/>
        <w:rPr>
          <w:rFonts w:eastAsiaTheme="majorEastAsia"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</w:rPr>
        <w:br w:type="page"/>
      </w:r>
    </w:p>
    <w:p w14:paraId="767A769A" w14:textId="378524C1" w:rsidR="00601F7A" w:rsidRPr="009C6652" w:rsidRDefault="00000000" w:rsidP="009D2354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665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Materials and Methods</w:t>
      </w:r>
    </w:p>
    <w:p w14:paraId="5324E675" w14:textId="77777777" w:rsidR="00601F7A" w:rsidRPr="00E003EC" w:rsidRDefault="00000000" w:rsidP="00411E2A">
      <w:pPr>
        <w:pStyle w:val="Heading2"/>
        <w:tabs>
          <w:tab w:val="clear" w:pos="360"/>
          <w:tab w:val="num" w:pos="720"/>
        </w:tabs>
        <w:ind w:left="720"/>
      </w:pPr>
      <w:r w:rsidRPr="00E003EC">
        <w:rPr>
          <w:shd w:val="clear" w:color="auto" w:fill="F4CCCC"/>
        </w:rPr>
        <w:t>Dataset and study design</w:t>
      </w:r>
    </w:p>
    <w:p w14:paraId="49AA01BA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Public dataset accession</w:t>
      </w:r>
    </w:p>
    <w:p w14:paraId="1A1113A4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Tissue and injury context</w:t>
      </w:r>
    </w:p>
    <w:p w14:paraId="1C2B309B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Sample groups and contrasts</w:t>
      </w:r>
    </w:p>
    <w:p w14:paraId="3FF45C5C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Why was this subset retained</w:t>
      </w:r>
    </w:p>
    <w:p w14:paraId="1C881C27" w14:textId="61328E1B" w:rsidR="00601F7A" w:rsidRPr="00E003EC" w:rsidRDefault="00000000" w:rsidP="00411E2A">
      <w:pPr>
        <w:pStyle w:val="Heading2"/>
        <w:tabs>
          <w:tab w:val="clear" w:pos="360"/>
          <w:tab w:val="num" w:pos="720"/>
        </w:tabs>
        <w:ind w:left="720"/>
      </w:pPr>
      <w:r w:rsidRPr="00E003EC">
        <w:t xml:space="preserve">Pipeline </w:t>
      </w:r>
      <w:r w:rsidR="0014236E" w:rsidRPr="00E003EC">
        <w:t>Stages</w:t>
      </w:r>
    </w:p>
    <w:p w14:paraId="2CACB8C5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Data Collection and Preprocessing</w:t>
      </w:r>
    </w:p>
    <w:p w14:paraId="793924AC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Download SRR files (`.</w:t>
      </w:r>
      <w:proofErr w:type="spellStart"/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gz</w:t>
      </w:r>
      <w:proofErr w:type="spellEnd"/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`)</w:t>
      </w:r>
    </w:p>
    <w:p w14:paraId="52C235EF" w14:textId="458CCD0A" w:rsidR="00411E2A" w:rsidRPr="00D8440B" w:rsidRDefault="00411E2A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Tools used</w:t>
      </w:r>
    </w:p>
    <w:p w14:paraId="2040C2C9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FASTQ organization</w:t>
      </w:r>
    </w:p>
    <w:p w14:paraId="39C63DF1" w14:textId="4CB42695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Sample manifest / metadata table</w:t>
      </w:r>
    </w:p>
    <w:p w14:paraId="0543105C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Data Quality Control and Trimming</w:t>
      </w:r>
    </w:p>
    <w:p w14:paraId="78D749AC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 xml:space="preserve">Raw FastQC / </w:t>
      </w:r>
      <w:proofErr w:type="spellStart"/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MultiQC</w:t>
      </w:r>
      <w:proofErr w:type="spellEnd"/>
    </w:p>
    <w:p w14:paraId="76324AC9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FASTP trimming</w:t>
      </w:r>
    </w:p>
    <w:p w14:paraId="026BF23E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Post-trim FastQC / MultiQC</w:t>
      </w:r>
    </w:p>
    <w:p w14:paraId="0238D353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Key QC checkpoint metrics</w:t>
      </w:r>
    </w:p>
    <w:p w14:paraId="590FBD5E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Data Preparation (Alignment and count generation)</w:t>
      </w:r>
    </w:p>
    <w:p w14:paraId="4BE0A20C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Reference genome and annotation</w:t>
      </w:r>
    </w:p>
    <w:p w14:paraId="03B595EE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80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(mm39)</w:t>
      </w:r>
    </w:p>
    <w:p w14:paraId="684590B1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STAR index and alignment</w:t>
      </w:r>
    </w:p>
    <w:p w14:paraId="4FCCD035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80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Building the STAR genome</w:t>
      </w:r>
    </w:p>
    <w:p w14:paraId="7F5C6F65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80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Paired-end alignment</w:t>
      </w:r>
    </w:p>
    <w:p w14:paraId="182A7659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GeneCounts output</w:t>
      </w:r>
    </w:p>
    <w:p w14:paraId="300AE32A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BAM / log / count outputs</w:t>
      </w:r>
    </w:p>
    <w:p w14:paraId="2BC2595C" w14:textId="0C3AE463" w:rsidR="00C305E2" w:rsidRPr="00D8440B" w:rsidRDefault="00000000" w:rsidP="00D8440B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Family count matrix assembly</w:t>
      </w:r>
      <w:r w:rsidR="00C305E2" w:rsidRPr="00D8440B">
        <w:rPr>
          <w:rFonts w:cs="Times New Roman"/>
          <w:color w:val="000000" w:themeColor="text1"/>
          <w:shd w:val="clear" w:color="auto" w:fill="B6D7A8"/>
        </w:rPr>
        <w:br w:type="page"/>
      </w:r>
    </w:p>
    <w:p w14:paraId="429F0E12" w14:textId="0F14F8B6" w:rsidR="00601F7A" w:rsidRPr="00A477D5" w:rsidRDefault="00000000" w:rsidP="00A477D5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</w:rPr>
      </w:pPr>
      <w:r w:rsidRPr="00E003EC">
        <w:rPr>
          <w:rFonts w:cs="Times New Roman"/>
          <w:color w:val="000000" w:themeColor="text1"/>
          <w:shd w:val="clear" w:color="auto" w:fill="B6D7A8"/>
        </w:rPr>
        <w:lastRenderedPageBreak/>
        <w:t>Data Analysis and Interpretation</w:t>
      </w:r>
    </w:p>
    <w:p w14:paraId="6AEBAED0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>Differential Expression Analysis</w:t>
      </w:r>
    </w:p>
    <w:p w14:paraId="60B1FEAD" w14:textId="635B39D2" w:rsidR="000D2A96" w:rsidRPr="00D8440B" w:rsidRDefault="00000000" w:rsidP="000D2A96">
      <w:pPr>
        <w:pStyle w:val="ListBullet3"/>
        <w:tabs>
          <w:tab w:val="clear" w:pos="1080"/>
          <w:tab w:val="num" w:pos="1440"/>
        </w:tabs>
        <w:ind w:left="180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>DESeq2 setup</w:t>
      </w:r>
    </w:p>
    <w:p w14:paraId="40E66370" w14:textId="34603527" w:rsidR="000D2A96" w:rsidRPr="00D8440B" w:rsidRDefault="000D2A96" w:rsidP="000D2A96">
      <w:pPr>
        <w:pStyle w:val="ListBullet3"/>
        <w:tabs>
          <w:tab w:val="clear" w:pos="1080"/>
        </w:tabs>
        <w:ind w:left="216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Count matrix input</w:t>
      </w:r>
    </w:p>
    <w:p w14:paraId="3C7F54B4" w14:textId="7DC168E9" w:rsidR="000D2A96" w:rsidRPr="00D8440B" w:rsidRDefault="000D2A96" w:rsidP="000D2A96">
      <w:pPr>
        <w:pStyle w:val="ListBullet3"/>
        <w:tabs>
          <w:tab w:val="clear" w:pos="1080"/>
        </w:tabs>
        <w:ind w:left="216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Design formula and modeled contrasts</w:t>
      </w:r>
    </w:p>
    <w:p w14:paraId="68072BEA" w14:textId="3D58FD1A" w:rsidR="000D2A96" w:rsidRPr="00D8440B" w:rsidRDefault="00C04347" w:rsidP="000D2A96">
      <w:pPr>
        <w:pStyle w:val="ListBullet3"/>
        <w:tabs>
          <w:tab w:val="clear" w:pos="1080"/>
        </w:tabs>
        <w:ind w:left="216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noProof/>
          <w:color w:val="000000" w:themeColor="text1"/>
          <w:sz w:val="20"/>
          <w:szCs w:val="20"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09672B69" wp14:editId="4890C745">
                <wp:simplePos x="0" y="0"/>
                <wp:positionH relativeFrom="column">
                  <wp:posOffset>3622751</wp:posOffset>
                </wp:positionH>
                <wp:positionV relativeFrom="paragraph">
                  <wp:posOffset>14674</wp:posOffset>
                </wp:positionV>
                <wp:extent cx="360" cy="360"/>
                <wp:effectExtent l="38100" t="25400" r="25400" b="38100"/>
                <wp:wrapNone/>
                <wp:docPr id="13962213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09672B69" wp14:editId="4890C745">
                <wp:simplePos x="0" y="0"/>
                <wp:positionH relativeFrom="column">
                  <wp:posOffset>3622751</wp:posOffset>
                </wp:positionH>
                <wp:positionV relativeFrom="paragraph">
                  <wp:posOffset>14674</wp:posOffset>
                </wp:positionV>
                <wp:extent cx="360" cy="360"/>
                <wp:effectExtent l="38100" t="25400" r="25400" b="38100"/>
                <wp:wrapNone/>
                <wp:docPr id="139622136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622136" name="Ink 9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0D2A96"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Filtering</w:t>
      </w:r>
      <w:r w:rsidR="00E003EC"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, thresholds</w:t>
      </w:r>
      <w:r w:rsidR="00C7489F">
        <w:rPr>
          <w:rFonts w:cs="Times New Roman"/>
          <w:color w:val="000000" w:themeColor="text1"/>
          <w:sz w:val="20"/>
          <w:szCs w:val="20"/>
          <w:shd w:val="clear" w:color="auto" w:fill="F4CCCC"/>
        </w:rPr>
        <w:t>,</w:t>
      </w:r>
      <w:r w:rsidR="000D2A96"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 xml:space="preserve"> and significance criteria</w:t>
      </w:r>
    </w:p>
    <w:p w14:paraId="4CC051E2" w14:textId="1DFE5C8A" w:rsidR="00601F7A" w:rsidRPr="00D8440B" w:rsidRDefault="000D2A96" w:rsidP="00411E2A">
      <w:pPr>
        <w:pStyle w:val="ListBullet3"/>
        <w:tabs>
          <w:tab w:val="clear" w:pos="1080"/>
          <w:tab w:val="num" w:pos="1440"/>
        </w:tabs>
        <w:ind w:left="180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>Pre-selection DESeq2 Output Generation</w:t>
      </w:r>
    </w:p>
    <w:p w14:paraId="0912313C" w14:textId="2374DEC9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216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>Volcano plot</w:t>
      </w:r>
    </w:p>
    <w:p w14:paraId="040BC428" w14:textId="2198B837" w:rsidR="00A477D5" w:rsidRPr="00D8440B" w:rsidRDefault="00A477D5" w:rsidP="00E003EC">
      <w:pPr>
        <w:pStyle w:val="ListBullet3"/>
        <w:tabs>
          <w:tab w:val="clear" w:pos="1080"/>
          <w:tab w:val="num" w:pos="1440"/>
        </w:tabs>
        <w:ind w:left="216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 xml:space="preserve">Heatmap of top differentially expressed genes (Regeneration-Enhancing) </w:t>
      </w:r>
    </w:p>
    <w:p w14:paraId="631C8D1C" w14:textId="777CA67B" w:rsidR="00601F7A" w:rsidRPr="00D8440B" w:rsidRDefault="00000000" w:rsidP="00E003EC">
      <w:pPr>
        <w:pStyle w:val="ListBullet3"/>
        <w:tabs>
          <w:tab w:val="clear" w:pos="1080"/>
          <w:tab w:val="num" w:pos="1440"/>
        </w:tabs>
        <w:ind w:left="216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>Target gene expression boxplots</w:t>
      </w:r>
    </w:p>
    <w:p w14:paraId="22893616" w14:textId="77777777" w:rsidR="00E003EC" w:rsidRPr="00D8440B" w:rsidRDefault="00E003EC" w:rsidP="00E003EC">
      <w:pPr>
        <w:pStyle w:val="ListBullet3"/>
        <w:tabs>
          <w:tab w:val="clear" w:pos="1080"/>
          <w:tab w:val="num" w:pos="1800"/>
        </w:tabs>
        <w:ind w:left="1800"/>
        <w:rPr>
          <w:sz w:val="20"/>
          <w:szCs w:val="20"/>
          <w:shd w:val="clear" w:color="auto" w:fill="F4CCCC"/>
        </w:rPr>
      </w:pPr>
      <w:r w:rsidRPr="00D8440B">
        <w:rPr>
          <w:sz w:val="20"/>
          <w:szCs w:val="20"/>
          <w:shd w:val="clear" w:color="auto" w:fill="F4CCCC"/>
        </w:rPr>
        <w:t>Bend-point / elbow-rule selection</w:t>
      </w:r>
    </w:p>
    <w:p w14:paraId="6B34492C" w14:textId="4F00040C" w:rsidR="00E003EC" w:rsidRPr="00D8440B" w:rsidRDefault="00E003EC" w:rsidP="00E003EC">
      <w:pPr>
        <w:pStyle w:val="ListBullet3"/>
        <w:tabs>
          <w:tab w:val="clear" w:pos="1080"/>
          <w:tab w:val="num" w:pos="2160"/>
        </w:tabs>
        <w:ind w:left="2160"/>
        <w:rPr>
          <w:sz w:val="20"/>
          <w:szCs w:val="20"/>
          <w:shd w:val="clear" w:color="auto" w:fill="F4CCCC"/>
        </w:rPr>
      </w:pPr>
      <w:r w:rsidRPr="00D8440B">
        <w:rPr>
          <w:sz w:val="20"/>
          <w:szCs w:val="20"/>
          <w:shd w:val="clear" w:color="auto" w:fill="F4CCCC"/>
        </w:rPr>
        <w:t xml:space="preserve">Ranked significance curve </w:t>
      </w:r>
    </w:p>
    <w:p w14:paraId="592AD941" w14:textId="21EAE93C" w:rsidR="00E003EC" w:rsidRPr="00D8440B" w:rsidRDefault="00E003EC" w:rsidP="00E003EC">
      <w:pPr>
        <w:pStyle w:val="ListBullet3"/>
        <w:tabs>
          <w:tab w:val="clear" w:pos="1080"/>
          <w:tab w:val="num" w:pos="2160"/>
        </w:tabs>
        <w:ind w:left="2160"/>
        <w:rPr>
          <w:sz w:val="20"/>
          <w:szCs w:val="20"/>
          <w:shd w:val="clear" w:color="auto" w:fill="F4CCCC"/>
        </w:rPr>
      </w:pPr>
      <w:r w:rsidRPr="00D8440B">
        <w:rPr>
          <w:sz w:val="20"/>
          <w:szCs w:val="20"/>
          <w:shd w:val="clear" w:color="auto" w:fill="F4CCCC"/>
        </w:rPr>
        <w:t>Rule used to define narrowed follow-up sets</w:t>
      </w:r>
    </w:p>
    <w:p w14:paraId="4BE3FAEB" w14:textId="28475BE2" w:rsidR="00E003EC" w:rsidRPr="00D8440B" w:rsidRDefault="00E003EC" w:rsidP="00E003EC">
      <w:pPr>
        <w:pStyle w:val="ListBullet3"/>
        <w:tabs>
          <w:tab w:val="clear" w:pos="1080"/>
          <w:tab w:val="num" w:pos="1800"/>
        </w:tabs>
        <w:ind w:left="1800"/>
        <w:rPr>
          <w:sz w:val="20"/>
          <w:szCs w:val="20"/>
          <w:shd w:val="clear" w:color="auto" w:fill="F4CCCC"/>
        </w:rPr>
      </w:pPr>
      <w:r w:rsidRPr="00D8440B">
        <w:rPr>
          <w:sz w:val="20"/>
          <w:szCs w:val="20"/>
          <w:shd w:val="clear" w:color="auto" w:fill="F4CCCC"/>
        </w:rPr>
        <w:t>Post-selection visualization using same analysis code</w:t>
      </w:r>
    </w:p>
    <w:p w14:paraId="04F932A3" w14:textId="77777777" w:rsidR="00E003EC" w:rsidRPr="00D8440B" w:rsidRDefault="00E003EC" w:rsidP="00E003EC">
      <w:pPr>
        <w:pStyle w:val="ListBullet3"/>
        <w:tabs>
          <w:tab w:val="clear" w:pos="1080"/>
          <w:tab w:val="num" w:pos="2160"/>
        </w:tabs>
        <w:ind w:left="2160"/>
        <w:rPr>
          <w:rFonts w:cs="Times New Roman"/>
          <w:color w:val="000000" w:themeColor="text1"/>
          <w:sz w:val="20"/>
          <w:szCs w:val="20"/>
        </w:rPr>
      </w:pPr>
      <w:r w:rsidRPr="00D8440B">
        <w:rPr>
          <w:sz w:val="20"/>
          <w:szCs w:val="20"/>
          <w:shd w:val="clear" w:color="auto" w:fill="F4CCCC"/>
        </w:rPr>
        <w:t>Regenerated MA / volcano / heatmap / target-validation outputs</w:t>
      </w:r>
    </w:p>
    <w:p w14:paraId="510DF157" w14:textId="49558067" w:rsidR="00E003EC" w:rsidRPr="00D8440B" w:rsidRDefault="00E003EC" w:rsidP="00E003EC">
      <w:pPr>
        <w:pStyle w:val="ListBullet3"/>
        <w:tabs>
          <w:tab w:val="clear" w:pos="1080"/>
          <w:tab w:val="num" w:pos="2520"/>
        </w:tabs>
        <w:ind w:left="2160"/>
        <w:rPr>
          <w:rFonts w:cs="Times New Roman"/>
          <w:color w:val="000000" w:themeColor="text1"/>
          <w:sz w:val="20"/>
          <w:szCs w:val="20"/>
        </w:rPr>
      </w:pPr>
      <w:r w:rsidRPr="00D8440B">
        <w:rPr>
          <w:sz w:val="20"/>
          <w:szCs w:val="20"/>
          <w:shd w:val="clear" w:color="auto" w:fill="F4CCCC"/>
        </w:rPr>
        <w:t>Direct comparison of pre- and post-elbow results</w:t>
      </w:r>
    </w:p>
    <w:p w14:paraId="70995A6C" w14:textId="77777777" w:rsidR="00E003EC" w:rsidRPr="00D8440B" w:rsidRDefault="00E003EC" w:rsidP="00E003EC">
      <w:pPr>
        <w:pStyle w:val="ListBullet3"/>
        <w:tabs>
          <w:tab w:val="clear" w:pos="1080"/>
          <w:tab w:val="num" w:pos="1800"/>
        </w:tabs>
        <w:ind w:left="1800"/>
        <w:rPr>
          <w:rFonts w:cs="Times New Roman"/>
          <w:color w:val="000000" w:themeColor="text1"/>
          <w:sz w:val="20"/>
          <w:szCs w:val="20"/>
        </w:rPr>
      </w:pPr>
      <w:r w:rsidRPr="00D8440B">
        <w:rPr>
          <w:sz w:val="20"/>
          <w:szCs w:val="20"/>
          <w:shd w:val="clear" w:color="auto" w:fill="F4CCCC"/>
        </w:rPr>
        <w:t>Interpretive purpose</w:t>
      </w:r>
    </w:p>
    <w:p w14:paraId="6535AA7B" w14:textId="77777777" w:rsidR="00E003EC" w:rsidRPr="00D8440B" w:rsidRDefault="00E003EC" w:rsidP="00E003EC">
      <w:pPr>
        <w:pStyle w:val="ListBullet3"/>
        <w:tabs>
          <w:tab w:val="clear" w:pos="1080"/>
          <w:tab w:val="num" w:pos="1800"/>
        </w:tabs>
        <w:ind w:left="2160"/>
        <w:rPr>
          <w:rFonts w:cs="Times New Roman"/>
          <w:color w:val="000000" w:themeColor="text1"/>
          <w:sz w:val="20"/>
          <w:szCs w:val="20"/>
        </w:rPr>
      </w:pPr>
      <w:r w:rsidRPr="00D8440B">
        <w:rPr>
          <w:sz w:val="20"/>
          <w:szCs w:val="20"/>
          <w:shd w:val="clear" w:color="auto" w:fill="F4CCCC"/>
        </w:rPr>
        <w:t>Preserve a consistent workflow</w:t>
      </w:r>
    </w:p>
    <w:p w14:paraId="1C6A75C0" w14:textId="34E74CE4" w:rsidR="00E003EC" w:rsidRPr="00D8440B" w:rsidRDefault="00E003EC" w:rsidP="00E003EC">
      <w:pPr>
        <w:pStyle w:val="ListBullet3"/>
        <w:tabs>
          <w:tab w:val="clear" w:pos="1080"/>
          <w:tab w:val="num" w:pos="1800"/>
        </w:tabs>
        <w:ind w:left="2160"/>
        <w:rPr>
          <w:rFonts w:cs="Times New Roman"/>
          <w:color w:val="000000" w:themeColor="text1"/>
          <w:sz w:val="20"/>
          <w:szCs w:val="20"/>
        </w:rPr>
      </w:pPr>
      <w:r w:rsidRPr="00D8440B">
        <w:rPr>
          <w:sz w:val="20"/>
          <w:szCs w:val="20"/>
          <w:shd w:val="clear" w:color="auto" w:fill="F4CCCC"/>
        </w:rPr>
        <w:t>Distinguish full DE results from narrowed follow-up sets</w:t>
      </w:r>
    </w:p>
    <w:p w14:paraId="13EB8ED6" w14:textId="1AAB6760" w:rsidR="00601F7A" w:rsidRPr="00C04347" w:rsidRDefault="00000000" w:rsidP="00C04347">
      <w:pPr>
        <w:pStyle w:val="ListBullet3"/>
        <w:tabs>
          <w:tab w:val="clear" w:pos="1080"/>
          <w:tab w:val="num" w:pos="720"/>
        </w:tabs>
        <w:rPr>
          <w:rFonts w:cs="Times New Roman"/>
          <w:color w:val="000000" w:themeColor="text1"/>
        </w:rPr>
      </w:pPr>
      <w:r w:rsidRPr="00C04347">
        <w:rPr>
          <w:rFonts w:cs="Times New Roman"/>
          <w:color w:val="000000" w:themeColor="text1"/>
          <w:shd w:val="clear" w:color="auto" w:fill="B6D7A8"/>
        </w:rPr>
        <w:t>Follow-up selection for functional interpretation</w:t>
      </w:r>
    </w:p>
    <w:p w14:paraId="083A7AA8" w14:textId="39938874" w:rsidR="00A477D5" w:rsidRPr="00D8440B" w:rsidRDefault="00000000" w:rsidP="00C04347">
      <w:pPr>
        <w:pStyle w:val="ListBullet3"/>
        <w:tabs>
          <w:tab w:val="clear" w:pos="1080"/>
          <w:tab w:val="num" w:pos="1440"/>
        </w:tabs>
        <w:ind w:left="180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>GO</w:t>
      </w:r>
      <w:r w:rsidR="00A477D5"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 xml:space="preserve"> analysis</w:t>
      </w:r>
      <w:r w:rsidR="00C04347"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 xml:space="preserve">, </w:t>
      </w:r>
    </w:p>
    <w:p w14:paraId="06A42E99" w14:textId="77777777" w:rsidR="00A477D5" w:rsidRPr="00D8440B" w:rsidRDefault="00000000" w:rsidP="00C04347">
      <w:pPr>
        <w:pStyle w:val="ListBullet3"/>
        <w:tabs>
          <w:tab w:val="clear" w:pos="1080"/>
          <w:tab w:val="num" w:pos="1440"/>
        </w:tabs>
        <w:ind w:left="180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>GSEA</w:t>
      </w:r>
      <w:r w:rsidR="00A477D5"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 xml:space="preserve"> analysis</w:t>
      </w:r>
      <w:r w:rsidR="00C04347"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 xml:space="preserve">, </w:t>
      </w:r>
    </w:p>
    <w:p w14:paraId="43AB849C" w14:textId="3024DB86" w:rsidR="00C305E2" w:rsidRPr="00D8440B" w:rsidRDefault="00000000" w:rsidP="00A477D5">
      <w:pPr>
        <w:pStyle w:val="ListBullet3"/>
        <w:tabs>
          <w:tab w:val="clear" w:pos="1080"/>
          <w:tab w:val="num" w:pos="1440"/>
        </w:tabs>
        <w:ind w:left="180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>Panther</w:t>
      </w:r>
      <w:r w:rsidR="00A477D5"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 xml:space="preserve"> and additional follow-up analysis</w:t>
      </w:r>
    </w:p>
    <w:p w14:paraId="3AFC1419" w14:textId="77777777" w:rsidR="00D8440B" w:rsidRDefault="00D8440B">
      <w:pPr>
        <w:spacing w:after="200" w:line="276" w:lineRule="auto"/>
        <w:rPr>
          <w:rFonts w:eastAsiaTheme="majorEastAsia"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</w:rPr>
        <w:br w:type="page"/>
      </w:r>
    </w:p>
    <w:p w14:paraId="740F2407" w14:textId="67A834BD" w:rsidR="00601F7A" w:rsidRPr="009C6652" w:rsidRDefault="00000000" w:rsidP="009D235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665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Results</w:t>
      </w:r>
    </w:p>
    <w:p w14:paraId="03E61583" w14:textId="77777777" w:rsidR="00601F7A" w:rsidRPr="00E003EC" w:rsidRDefault="00000000" w:rsidP="00411E2A">
      <w:pPr>
        <w:pStyle w:val="Heading2"/>
        <w:tabs>
          <w:tab w:val="clear" w:pos="360"/>
          <w:tab w:val="num" w:pos="720"/>
        </w:tabs>
        <w:ind w:left="720"/>
      </w:pPr>
      <w:r w:rsidRPr="00E003EC">
        <w:rPr>
          <w:shd w:val="clear" w:color="auto" w:fill="B6D7A8"/>
        </w:rPr>
        <w:t>Dataset quality supported downstream analysis</w:t>
      </w:r>
    </w:p>
    <w:p w14:paraId="2CD3E489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>Number of samples and read structure</w:t>
      </w:r>
    </w:p>
    <w:p w14:paraId="57F31A1C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>Pre-trim</w:t>
      </w:r>
    </w:p>
    <w:p w14:paraId="243D82CF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>GC content</w:t>
      </w:r>
    </w:p>
    <w:p w14:paraId="66D0027C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>Adapter sequences</w:t>
      </w:r>
    </w:p>
    <w:p w14:paraId="54FC2D3B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>Alignment stats</w:t>
      </w:r>
    </w:p>
    <w:p w14:paraId="696016A2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>Unique mapping</w:t>
      </w:r>
    </w:p>
    <w:p w14:paraId="26513BC4" w14:textId="77777777" w:rsidR="00601F7A" w:rsidRPr="00E003EC" w:rsidRDefault="00000000" w:rsidP="00411E2A">
      <w:pPr>
        <w:pStyle w:val="Heading2"/>
        <w:tabs>
          <w:tab w:val="clear" w:pos="360"/>
          <w:tab w:val="num" w:pos="720"/>
        </w:tabs>
        <w:ind w:left="720"/>
      </w:pPr>
      <w:r w:rsidRPr="00E003EC">
        <w:rPr>
          <w:shd w:val="clear" w:color="auto" w:fill="F4CCCC"/>
        </w:rPr>
        <w:t>The sample structure showed the strongest separation by the main biological contrast</w:t>
      </w:r>
    </w:p>
    <w:p w14:paraId="4CF5D06C" w14:textId="23A89317" w:rsidR="00601F7A" w:rsidRPr="00D8440B" w:rsidRDefault="00AA7791" w:rsidP="00AA7791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B6D7A8"/>
        </w:rPr>
        <w:t xml:space="preserve">PCA: </w:t>
      </w:r>
      <w:r w:rsidRPr="00D8440B">
        <w:rPr>
          <w:sz w:val="20"/>
          <w:szCs w:val="20"/>
          <w:shd w:val="clear" w:color="auto" w:fill="B6D7A8"/>
        </w:rPr>
        <w:t>Interpretation of PC1 / PC2</w:t>
      </w:r>
    </w:p>
    <w:p w14:paraId="0D49ABBC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Genotype analysis</w:t>
      </w:r>
    </w:p>
    <w:p w14:paraId="5C171375" w14:textId="65DBD47F" w:rsidR="00601F7A" w:rsidRPr="00AA7791" w:rsidRDefault="00000000" w:rsidP="00AA7791">
      <w:pPr>
        <w:pStyle w:val="Heading2"/>
        <w:tabs>
          <w:tab w:val="clear" w:pos="360"/>
          <w:tab w:val="num" w:pos="720"/>
        </w:tabs>
        <w:ind w:left="720"/>
      </w:pPr>
      <w:r w:rsidRPr="00E003EC">
        <w:rPr>
          <w:shd w:val="clear" w:color="auto" w:fill="B6D7A8"/>
        </w:rPr>
        <w:t>Differential expression identified the strongest transcriptomic changes</w:t>
      </w:r>
    </w:p>
    <w:p w14:paraId="7C526729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MA plot</w:t>
      </w:r>
    </w:p>
    <w:p w14:paraId="004C932C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Cumulative Distribution Plot (bend-point / elbow rule)</w:t>
      </w:r>
    </w:p>
    <w:p w14:paraId="14B6BB74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Volcano Plot (Important Genes)</w:t>
      </w:r>
    </w:p>
    <w:p w14:paraId="41421B06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Include a secondary Volcano Plot with a new threshold</w:t>
      </w:r>
    </w:p>
    <w:p w14:paraId="20137AC6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Heatmap</w:t>
      </w:r>
    </w:p>
    <w:p w14:paraId="74CC1CAB" w14:textId="77777777" w:rsidR="00AA7791" w:rsidRPr="00D8440B" w:rsidRDefault="00000000" w:rsidP="00AA7791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Including the interpretation of the distance heatmap between the two conditions</w:t>
      </w:r>
    </w:p>
    <w:p w14:paraId="59ACF7D0" w14:textId="0D93A921" w:rsidR="00601F7A" w:rsidRPr="00AA7791" w:rsidRDefault="00000000" w:rsidP="00517D6C">
      <w:pPr>
        <w:pStyle w:val="ListBullet3"/>
        <w:tabs>
          <w:tab w:val="num" w:pos="1270"/>
        </w:tabs>
        <w:ind w:left="810"/>
        <w:rPr>
          <w:rFonts w:cs="Times New Roman"/>
          <w:color w:val="000000" w:themeColor="text1"/>
        </w:rPr>
      </w:pPr>
      <w:r w:rsidRPr="00AA7791">
        <w:rPr>
          <w:shd w:val="clear" w:color="auto" w:fill="F4CCCC"/>
        </w:rPr>
        <w:t>Bend-point selection narrowed the main follow-up sets</w:t>
      </w:r>
    </w:p>
    <w:p w14:paraId="5BABDE5F" w14:textId="77777777" w:rsidR="00601F7A" w:rsidRPr="00D8440B" w:rsidRDefault="00000000" w:rsidP="00517D6C">
      <w:pPr>
        <w:pStyle w:val="ListBullet3"/>
        <w:tabs>
          <w:tab w:val="clear" w:pos="1080"/>
          <w:tab w:val="num" w:pos="1270"/>
          <w:tab w:val="num" w:pos="1350"/>
        </w:tabs>
      </w:pPr>
      <w:r w:rsidRPr="00D8440B">
        <w:rPr>
          <w:shd w:val="clear" w:color="auto" w:fill="F4CCCC"/>
        </w:rPr>
        <w:t>Cumulative plot</w:t>
      </w:r>
    </w:p>
    <w:p w14:paraId="6B7ECD5B" w14:textId="77777777" w:rsidR="00601F7A" w:rsidRPr="00D8440B" w:rsidRDefault="00000000" w:rsidP="00517D6C">
      <w:pPr>
        <w:pStyle w:val="ListBullet3"/>
        <w:tabs>
          <w:tab w:val="clear" w:pos="1080"/>
          <w:tab w:val="num" w:pos="1270"/>
          <w:tab w:val="num" w:pos="1350"/>
        </w:tabs>
      </w:pPr>
      <w:r w:rsidRPr="00D8440B">
        <w:rPr>
          <w:shd w:val="clear" w:color="auto" w:fill="F4CCCC"/>
        </w:rPr>
        <w:t>Selected gene counts</w:t>
      </w:r>
    </w:p>
    <w:p w14:paraId="7A991D02" w14:textId="77777777" w:rsidR="00601F7A" w:rsidRPr="00D8440B" w:rsidRDefault="00000000" w:rsidP="00517D6C">
      <w:pPr>
        <w:pStyle w:val="ListBullet3"/>
        <w:tabs>
          <w:tab w:val="clear" w:pos="1080"/>
          <w:tab w:val="num" w:pos="1270"/>
          <w:tab w:val="num" w:pos="1350"/>
        </w:tabs>
      </w:pPr>
      <w:r w:rsidRPr="00D8440B">
        <w:rPr>
          <w:shd w:val="clear" w:color="auto" w:fill="F4CCCC"/>
        </w:rPr>
        <w:t>Why this helped interpretation</w:t>
      </w:r>
    </w:p>
    <w:p w14:paraId="5EFAC6CB" w14:textId="5574C97A" w:rsidR="00601F7A" w:rsidRPr="00D8440B" w:rsidRDefault="00000000" w:rsidP="00517D6C">
      <w:pPr>
        <w:pStyle w:val="ListBullet3"/>
        <w:tabs>
          <w:tab w:val="clear" w:pos="1080"/>
          <w:tab w:val="num" w:pos="1270"/>
          <w:tab w:val="num" w:pos="1350"/>
        </w:tabs>
      </w:pPr>
      <w:r w:rsidRPr="00D8440B">
        <w:rPr>
          <w:shd w:val="clear" w:color="auto" w:fill="F4CCCC"/>
        </w:rPr>
        <w:t>Secondary volcano plot</w:t>
      </w:r>
    </w:p>
    <w:p w14:paraId="24399738" w14:textId="77777777" w:rsidR="00D8440B" w:rsidRDefault="00D8440B">
      <w:pPr>
        <w:spacing w:after="200" w:line="276" w:lineRule="auto"/>
        <w:rPr>
          <w:rFonts w:cs="Times New Roman"/>
          <w:color w:val="000000" w:themeColor="text1"/>
          <w:shd w:val="clear" w:color="auto" w:fill="D9D2E9"/>
        </w:rPr>
      </w:pPr>
      <w:r>
        <w:br w:type="page"/>
      </w:r>
    </w:p>
    <w:p w14:paraId="55A93755" w14:textId="34E08420" w:rsidR="00601F7A" w:rsidRPr="00E003EC" w:rsidRDefault="00000000" w:rsidP="00411E2A">
      <w:pPr>
        <w:pStyle w:val="Heading2"/>
        <w:tabs>
          <w:tab w:val="clear" w:pos="360"/>
          <w:tab w:val="num" w:pos="720"/>
        </w:tabs>
        <w:ind w:left="720"/>
      </w:pPr>
      <w:r w:rsidRPr="00E003EC">
        <w:lastRenderedPageBreak/>
        <w:t>Functional enrichment connected DE results to broader biology</w:t>
      </w:r>
    </w:p>
    <w:p w14:paraId="57BC8CB2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GO / pathway results</w:t>
      </w:r>
    </w:p>
    <w:p w14:paraId="776E7A2D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Pathway level / Panther analysis</w:t>
      </w:r>
    </w:p>
    <w:p w14:paraId="645217AB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Go through the plots listed by Panther</w:t>
      </w:r>
    </w:p>
    <w:p w14:paraId="3C62D69C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Proteostasis</w:t>
      </w:r>
    </w:p>
    <w:p w14:paraId="36CFF032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Translation</w:t>
      </w:r>
    </w:p>
    <w:p w14:paraId="623E799D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Metabolism</w:t>
      </w:r>
    </w:p>
    <w:p w14:paraId="11CC78DE" w14:textId="77777777" w:rsidR="00601F7A" w:rsidRPr="00D8440B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D9D2E9"/>
        </w:rPr>
        <w:t>Extra analysis, once finalized</w:t>
      </w:r>
    </w:p>
    <w:p w14:paraId="6C45A7A6" w14:textId="77777777" w:rsidR="00601F7A" w:rsidRPr="009C6652" w:rsidRDefault="00000000" w:rsidP="009D2354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6652">
        <w:rPr>
          <w:rFonts w:ascii="Times New Roman" w:hAnsi="Times New Roman" w:cs="Times New Roman"/>
          <w:color w:val="000000" w:themeColor="text1"/>
          <w:sz w:val="24"/>
          <w:szCs w:val="24"/>
        </w:rPr>
        <w:t>Discussion</w:t>
      </w:r>
    </w:p>
    <w:p w14:paraId="473D84B0" w14:textId="739D018B" w:rsidR="00601F7A" w:rsidRPr="00E003EC" w:rsidRDefault="00000000" w:rsidP="00411E2A">
      <w:pPr>
        <w:pStyle w:val="Heading2"/>
        <w:tabs>
          <w:tab w:val="clear" w:pos="360"/>
          <w:tab w:val="num" w:pos="720"/>
        </w:tabs>
        <w:ind w:left="720"/>
      </w:pPr>
      <w:r w:rsidRPr="00E003EC">
        <w:rPr>
          <w:shd w:val="clear" w:color="auto" w:fill="F4CCCC"/>
        </w:rPr>
        <w:t xml:space="preserve">Main biological interpretation </w:t>
      </w:r>
    </w:p>
    <w:p w14:paraId="1E1837AB" w14:textId="07B4B71E" w:rsidR="00601F7A" w:rsidRPr="00D8440B" w:rsidRDefault="00C04347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Overall pattern in the data</w:t>
      </w:r>
    </w:p>
    <w:p w14:paraId="221C6BE5" w14:textId="77777777" w:rsidR="00601F7A" w:rsidRPr="00D8440B" w:rsidRDefault="00000000" w:rsidP="00C04347">
      <w:pPr>
        <w:pStyle w:val="ListBullet2"/>
        <w:tabs>
          <w:tab w:val="clear" w:pos="72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Strongest supported signal</w:t>
      </w:r>
    </w:p>
    <w:p w14:paraId="376402B0" w14:textId="41A93CDB" w:rsidR="00601F7A" w:rsidRPr="00D8440B" w:rsidRDefault="00C04347" w:rsidP="00C04347">
      <w:pPr>
        <w:pStyle w:val="ListBullet2"/>
        <w:tabs>
          <w:tab w:val="clear" w:pos="72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Primary vs secondary findings</w:t>
      </w:r>
    </w:p>
    <w:p w14:paraId="1E99F26C" w14:textId="77777777" w:rsidR="00A477D5" w:rsidRPr="00D8440B" w:rsidRDefault="00A477D5" w:rsidP="00A477D5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Gene expression differences across the main biological contrasts</w:t>
      </w:r>
    </w:p>
    <w:p w14:paraId="0D2DFAB2" w14:textId="30BEB106" w:rsidR="00AA7791" w:rsidRPr="00D8440B" w:rsidRDefault="00AA7791" w:rsidP="00A477D5">
      <w:pPr>
        <w:pStyle w:val="ListBullet2"/>
        <w:tabs>
          <w:tab w:val="clear" w:pos="72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ipsilateral vs contralateral</w:t>
      </w:r>
    </w:p>
    <w:p w14:paraId="1E1C8341" w14:textId="25D0967A" w:rsidR="00AA7791" w:rsidRPr="00D8440B" w:rsidRDefault="00AA7791" w:rsidP="00AA7791">
      <w:pPr>
        <w:pStyle w:val="ListBullet2"/>
        <w:tabs>
          <w:tab w:val="clear" w:pos="72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 xml:space="preserve">ff vs </w:t>
      </w:r>
      <w:proofErr w:type="spellStart"/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cre</w:t>
      </w:r>
      <w:proofErr w:type="spellEnd"/>
    </w:p>
    <w:p w14:paraId="2A0123F6" w14:textId="4927ECC7" w:rsidR="00AA7791" w:rsidRPr="00D8440B" w:rsidRDefault="00AA7791" w:rsidP="00AA7791">
      <w:pPr>
        <w:pStyle w:val="ListBullet2"/>
        <w:tabs>
          <w:tab w:val="clear" w:pos="72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Genotype-related comparisons</w:t>
      </w:r>
    </w:p>
    <w:p w14:paraId="7458F9E2" w14:textId="3B039334" w:rsidR="00601F7A" w:rsidRPr="00D8440B" w:rsidRDefault="00C04347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Biological Processes implicated by the analysis</w:t>
      </w:r>
    </w:p>
    <w:p w14:paraId="14774512" w14:textId="29686AB3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proofErr w:type="spellStart"/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Proteostasis</w:t>
      </w:r>
      <w:proofErr w:type="spellEnd"/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 xml:space="preserve"> (</w:t>
      </w:r>
      <w:r w:rsidR="00C04347"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 xml:space="preserve">including </w:t>
      </w:r>
      <w:proofErr w:type="spellStart"/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Ah</w:t>
      </w:r>
      <w:r w:rsidR="00C04347"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R</w:t>
      </w:r>
      <w:proofErr w:type="spellEnd"/>
      <w:r w:rsidR="00C04347"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-related signaling</w:t>
      </w: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)</w:t>
      </w:r>
    </w:p>
    <w:p w14:paraId="3EA181A8" w14:textId="77777777" w:rsidR="00601F7A" w:rsidRPr="00D8440B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Translation (suppression / upregulation of genes)</w:t>
      </w:r>
    </w:p>
    <w:p w14:paraId="5700AD87" w14:textId="77777777" w:rsidR="00D8440B" w:rsidRDefault="00000000" w:rsidP="00D8440B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D8440B">
        <w:rPr>
          <w:rFonts w:cs="Times New Roman"/>
          <w:color w:val="000000" w:themeColor="text1"/>
          <w:sz w:val="20"/>
          <w:szCs w:val="20"/>
          <w:shd w:val="clear" w:color="auto" w:fill="F4CCCC"/>
        </w:rPr>
        <w:t>Metabolism (energy output)</w:t>
      </w:r>
    </w:p>
    <w:p w14:paraId="38CA7A7C" w14:textId="77777777" w:rsidR="00D8440B" w:rsidRPr="00D8440B" w:rsidRDefault="00D8440B" w:rsidP="00D8440B">
      <w:pPr>
        <w:pStyle w:val="ListBullet2"/>
        <w:rPr>
          <w:rFonts w:cs="Times New Roman"/>
          <w:color w:val="000000" w:themeColor="text1"/>
          <w:shd w:val="clear" w:color="auto" w:fill="D9D2E9"/>
        </w:rPr>
      </w:pPr>
      <w:r w:rsidRPr="00D8440B">
        <w:rPr>
          <w:rFonts w:cs="Times New Roman"/>
          <w:color w:val="000000" w:themeColor="text1"/>
          <w:shd w:val="clear" w:color="auto" w:fill="D9D2E9"/>
        </w:rPr>
        <w:t>What was unusual or needs caution</w:t>
      </w:r>
    </w:p>
    <w:p w14:paraId="50F02B78" w14:textId="77777777" w:rsidR="00601F7A" w:rsidRPr="00E003EC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</w:rPr>
      </w:pPr>
      <w:r w:rsidRPr="00E003EC">
        <w:rPr>
          <w:rFonts w:cs="Times New Roman"/>
          <w:color w:val="000000" w:themeColor="text1"/>
          <w:shd w:val="clear" w:color="auto" w:fill="D9D2E9"/>
        </w:rPr>
        <w:t>Odd volcano plots</w:t>
      </w:r>
    </w:p>
    <w:p w14:paraId="28C08B5D" w14:textId="77777777" w:rsidR="00601F7A" w:rsidRPr="00E003EC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</w:rPr>
      </w:pPr>
      <w:r w:rsidRPr="00E003EC">
        <w:rPr>
          <w:rFonts w:cs="Times New Roman"/>
          <w:color w:val="000000" w:themeColor="text1"/>
          <w:shd w:val="clear" w:color="auto" w:fill="D9D2E9"/>
        </w:rPr>
        <w:t>The genotype signal appears weaker / secondary</w:t>
      </w:r>
    </w:p>
    <w:p w14:paraId="7DAF306B" w14:textId="77777777" w:rsidR="00601F7A" w:rsidRPr="00E003EC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</w:rPr>
      </w:pPr>
      <w:r w:rsidRPr="00E003EC">
        <w:rPr>
          <w:rFonts w:cs="Times New Roman"/>
          <w:color w:val="000000" w:themeColor="text1"/>
          <w:shd w:val="clear" w:color="auto" w:fill="D9D2E9"/>
        </w:rPr>
        <w:t>PCA collisions / overlap</w:t>
      </w:r>
    </w:p>
    <w:p w14:paraId="44E17D92" w14:textId="77777777" w:rsidR="00601F7A" w:rsidRPr="00E003EC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</w:rPr>
      </w:pPr>
      <w:r w:rsidRPr="00E003EC">
        <w:rPr>
          <w:rFonts w:cs="Times New Roman"/>
          <w:color w:val="000000" w:themeColor="text1"/>
          <w:shd w:val="clear" w:color="auto" w:fill="D9D2E9"/>
        </w:rPr>
        <w:t>Interpretation vs causation</w:t>
      </w:r>
    </w:p>
    <w:p w14:paraId="199B17E4" w14:textId="77777777" w:rsidR="00601F7A" w:rsidRPr="00E003EC" w:rsidRDefault="00000000" w:rsidP="00411E2A">
      <w:pPr>
        <w:pStyle w:val="Heading2"/>
        <w:tabs>
          <w:tab w:val="clear" w:pos="360"/>
          <w:tab w:val="num" w:pos="720"/>
        </w:tabs>
        <w:ind w:left="720"/>
      </w:pPr>
      <w:r w:rsidRPr="00E003EC">
        <w:rPr>
          <w:shd w:val="clear" w:color="auto" w:fill="F4CCCC"/>
        </w:rPr>
        <w:lastRenderedPageBreak/>
        <w:t>What this adds beyond the original paper</w:t>
      </w:r>
    </w:p>
    <w:p w14:paraId="6DF0551A" w14:textId="77777777" w:rsidR="00601F7A" w:rsidRPr="009C6652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9C6652">
        <w:rPr>
          <w:rFonts w:cs="Times New Roman"/>
          <w:color w:val="000000" w:themeColor="text1"/>
          <w:sz w:val="20"/>
          <w:szCs w:val="20"/>
          <w:shd w:val="clear" w:color="auto" w:fill="F4CCCC"/>
        </w:rPr>
        <w:t>Expands the analysis beyond the paper’s candidate genes</w:t>
      </w:r>
    </w:p>
    <w:p w14:paraId="37FDA707" w14:textId="77777777" w:rsidR="00601F7A" w:rsidRPr="009C6652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9C6652">
        <w:rPr>
          <w:rFonts w:cs="Times New Roman"/>
          <w:color w:val="000000" w:themeColor="text1"/>
          <w:sz w:val="20"/>
          <w:szCs w:val="20"/>
          <w:shd w:val="clear" w:color="auto" w:fill="B6D7A8"/>
        </w:rPr>
        <w:t>Helps link pathways</w:t>
      </w:r>
    </w:p>
    <w:p w14:paraId="18FD96A1" w14:textId="77777777" w:rsidR="00601F7A" w:rsidRPr="009C6652" w:rsidRDefault="00000000" w:rsidP="00411E2A">
      <w:pPr>
        <w:pStyle w:val="ListBullet3"/>
        <w:tabs>
          <w:tab w:val="clear" w:pos="1080"/>
          <w:tab w:val="num" w:pos="1440"/>
        </w:tabs>
        <w:ind w:left="1800"/>
        <w:rPr>
          <w:rFonts w:cs="Times New Roman"/>
          <w:color w:val="000000" w:themeColor="text1"/>
          <w:sz w:val="20"/>
          <w:szCs w:val="20"/>
        </w:rPr>
      </w:pPr>
      <w:r w:rsidRPr="009C6652">
        <w:rPr>
          <w:rFonts w:cs="Times New Roman"/>
          <w:color w:val="000000" w:themeColor="text1"/>
          <w:sz w:val="20"/>
          <w:szCs w:val="20"/>
          <w:shd w:val="clear" w:color="auto" w:fill="B6D7A8"/>
        </w:rPr>
        <w:t>Proposed and new</w:t>
      </w:r>
    </w:p>
    <w:p w14:paraId="53886538" w14:textId="77777777" w:rsidR="00601F7A" w:rsidRPr="009C6652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9C6652">
        <w:rPr>
          <w:rFonts w:cs="Times New Roman"/>
          <w:color w:val="000000" w:themeColor="text1"/>
          <w:sz w:val="20"/>
          <w:szCs w:val="20"/>
          <w:shd w:val="clear" w:color="auto" w:fill="F4CCCC"/>
        </w:rPr>
        <w:t>Helps link the pathways already proposed in the paper with additional transcriptomic signals</w:t>
      </w:r>
    </w:p>
    <w:p w14:paraId="32A0012B" w14:textId="77777777" w:rsidR="00601F7A" w:rsidRPr="009C6652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9C6652">
        <w:rPr>
          <w:rFonts w:cs="Times New Roman"/>
          <w:color w:val="000000" w:themeColor="text1"/>
          <w:sz w:val="20"/>
          <w:szCs w:val="20"/>
          <w:shd w:val="clear" w:color="auto" w:fill="F4CCCC"/>
        </w:rPr>
        <w:t>Connects newly identified genes to the genes highlighted in the paper through broader transcriptomic patterns</w:t>
      </w:r>
    </w:p>
    <w:p w14:paraId="3F5990B5" w14:textId="77777777" w:rsidR="00601F7A" w:rsidRPr="009C6652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9C6652">
        <w:rPr>
          <w:rFonts w:cs="Times New Roman"/>
          <w:color w:val="000000" w:themeColor="text1"/>
          <w:sz w:val="20"/>
          <w:szCs w:val="20"/>
          <w:shd w:val="clear" w:color="auto" w:fill="F4CCCC"/>
        </w:rPr>
        <w:t>Moves interpretation from single-gene emphasis toward pathway- and network-level context</w:t>
      </w:r>
    </w:p>
    <w:p w14:paraId="6A115188" w14:textId="77777777" w:rsidR="00601F7A" w:rsidRPr="00E003EC" w:rsidRDefault="00000000" w:rsidP="00411E2A">
      <w:pPr>
        <w:pStyle w:val="Heading2"/>
        <w:tabs>
          <w:tab w:val="clear" w:pos="360"/>
          <w:tab w:val="num" w:pos="720"/>
        </w:tabs>
        <w:ind w:left="720"/>
      </w:pPr>
      <w:r w:rsidRPr="00E003EC">
        <w:rPr>
          <w:shd w:val="clear" w:color="auto" w:fill="B6D7A8"/>
        </w:rPr>
        <w:t>NGS in the context of this paper</w:t>
      </w:r>
    </w:p>
    <w:p w14:paraId="3571D02F" w14:textId="77777777" w:rsidR="00601F7A" w:rsidRPr="009C6652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9C6652">
        <w:rPr>
          <w:rFonts w:cs="Times New Roman"/>
          <w:color w:val="000000" w:themeColor="text1"/>
          <w:sz w:val="20"/>
          <w:szCs w:val="20"/>
          <w:shd w:val="clear" w:color="auto" w:fill="B6D7A8"/>
        </w:rPr>
        <w:t>Global discovery</w:t>
      </w:r>
    </w:p>
    <w:p w14:paraId="6A4C65A0" w14:textId="77777777" w:rsidR="00601F7A" w:rsidRPr="009C6652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9C6652">
        <w:rPr>
          <w:rFonts w:cs="Times New Roman"/>
          <w:color w:val="000000" w:themeColor="text1"/>
          <w:sz w:val="20"/>
          <w:szCs w:val="20"/>
          <w:shd w:val="clear" w:color="auto" w:fill="B6D7A8"/>
        </w:rPr>
        <w:t>Reproducibility</w:t>
      </w:r>
    </w:p>
    <w:p w14:paraId="0FE3A111" w14:textId="77777777" w:rsidR="00601F7A" w:rsidRPr="009C6652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9C6652">
        <w:rPr>
          <w:rFonts w:cs="Times New Roman"/>
          <w:color w:val="000000" w:themeColor="text1"/>
          <w:sz w:val="20"/>
          <w:szCs w:val="20"/>
          <w:shd w:val="clear" w:color="auto" w:fill="B6D7A8"/>
        </w:rPr>
        <w:t>External applications / biological relevance</w:t>
      </w:r>
    </w:p>
    <w:p w14:paraId="2AA6B8E8" w14:textId="77777777" w:rsidR="00601F7A" w:rsidRPr="009C6652" w:rsidRDefault="00000000" w:rsidP="00411E2A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9C6652">
        <w:rPr>
          <w:rFonts w:cs="Times New Roman"/>
          <w:color w:val="000000" w:themeColor="text1"/>
          <w:sz w:val="20"/>
          <w:szCs w:val="20"/>
          <w:shd w:val="clear" w:color="auto" w:fill="B6D7A8"/>
        </w:rPr>
        <w:t>How does our global discovery connect to the genes found in the paper</w:t>
      </w:r>
    </w:p>
    <w:p w14:paraId="39B9448E" w14:textId="0AE39324" w:rsidR="00246B9A" w:rsidRPr="009C6652" w:rsidRDefault="00000000" w:rsidP="009C6652">
      <w:pPr>
        <w:pStyle w:val="ListBullet3"/>
        <w:tabs>
          <w:tab w:val="clear" w:pos="1080"/>
          <w:tab w:val="num" w:pos="1440"/>
        </w:tabs>
        <w:ind w:left="1440"/>
        <w:rPr>
          <w:rFonts w:cs="Times New Roman"/>
          <w:color w:val="000000" w:themeColor="text1"/>
          <w:sz w:val="20"/>
          <w:szCs w:val="20"/>
        </w:rPr>
      </w:pPr>
      <w:r w:rsidRPr="009C6652">
        <w:rPr>
          <w:rFonts w:cs="Times New Roman"/>
          <w:color w:val="000000" w:themeColor="text1"/>
          <w:sz w:val="20"/>
          <w:szCs w:val="20"/>
          <w:shd w:val="clear" w:color="auto" w:fill="B6D7A8"/>
        </w:rPr>
        <w:t>Two-hybrid screening</w:t>
      </w:r>
    </w:p>
    <w:p w14:paraId="65DE4876" w14:textId="0B6F7B03" w:rsidR="00601F7A" w:rsidRPr="00E003EC" w:rsidRDefault="00000000" w:rsidP="00411E2A">
      <w:pPr>
        <w:pStyle w:val="Heading2"/>
        <w:tabs>
          <w:tab w:val="clear" w:pos="360"/>
          <w:tab w:val="num" w:pos="720"/>
        </w:tabs>
        <w:ind w:left="720"/>
      </w:pPr>
      <w:r w:rsidRPr="00E003EC">
        <w:rPr>
          <w:shd w:val="clear" w:color="auto" w:fill="F4CCCC"/>
        </w:rPr>
        <w:t>Future validation</w:t>
      </w:r>
    </w:p>
    <w:p w14:paraId="1B8EB8BA" w14:textId="77777777" w:rsidR="00601F7A" w:rsidRPr="009C6652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9C6652">
        <w:rPr>
          <w:rFonts w:cs="Times New Roman"/>
          <w:color w:val="000000" w:themeColor="text1"/>
          <w:sz w:val="20"/>
          <w:szCs w:val="20"/>
          <w:shd w:val="clear" w:color="auto" w:fill="F4CCCC"/>
        </w:rPr>
        <w:t>qPCR for key differentially expressed genes</w:t>
      </w:r>
    </w:p>
    <w:p w14:paraId="4D517396" w14:textId="77777777" w:rsidR="00601F7A" w:rsidRPr="009C6652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9C6652">
        <w:rPr>
          <w:rFonts w:cs="Times New Roman"/>
          <w:color w:val="000000" w:themeColor="text1"/>
          <w:sz w:val="20"/>
          <w:szCs w:val="20"/>
          <w:shd w:val="clear" w:color="auto" w:fill="F4CCCC"/>
        </w:rPr>
        <w:t>Functional follow-up experiments for injury-response candidates</w:t>
      </w:r>
    </w:p>
    <w:p w14:paraId="48CC2E4A" w14:textId="77777777" w:rsidR="00601F7A" w:rsidRPr="009C6652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rFonts w:cs="Times New Roman"/>
          <w:color w:val="000000" w:themeColor="text1"/>
          <w:sz w:val="20"/>
          <w:szCs w:val="20"/>
        </w:rPr>
      </w:pPr>
      <w:r w:rsidRPr="009C6652">
        <w:rPr>
          <w:rFonts w:cs="Times New Roman"/>
          <w:color w:val="000000" w:themeColor="text1"/>
          <w:sz w:val="20"/>
          <w:szCs w:val="20"/>
          <w:shd w:val="clear" w:color="auto" w:fill="F4CCCC"/>
        </w:rPr>
        <w:t>Two-hybrid screening only if it remains biologically justified</w:t>
      </w:r>
    </w:p>
    <w:p w14:paraId="5C189CD4" w14:textId="77777777" w:rsidR="00601F7A" w:rsidRPr="00E003EC" w:rsidRDefault="00000000" w:rsidP="00411E2A">
      <w:pPr>
        <w:pStyle w:val="ListBullet2"/>
        <w:rPr>
          <w:color w:val="000000" w:themeColor="text1"/>
        </w:rPr>
      </w:pPr>
      <w:r w:rsidRPr="00E003EC">
        <w:rPr>
          <w:color w:val="000000" w:themeColor="text1"/>
          <w:shd w:val="clear" w:color="auto" w:fill="F4CCCC"/>
        </w:rPr>
        <w:t>Limitations and cautions</w:t>
      </w:r>
    </w:p>
    <w:p w14:paraId="374569F3" w14:textId="77777777" w:rsidR="00601F7A" w:rsidRPr="009C6652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color w:val="000000" w:themeColor="text1"/>
          <w:sz w:val="20"/>
          <w:szCs w:val="20"/>
        </w:rPr>
      </w:pPr>
      <w:r w:rsidRPr="009C6652">
        <w:rPr>
          <w:color w:val="000000" w:themeColor="text1"/>
          <w:sz w:val="20"/>
          <w:szCs w:val="20"/>
          <w:shd w:val="clear" w:color="auto" w:fill="F4CCCC"/>
        </w:rPr>
        <w:t>Weaker genotype signal</w:t>
      </w:r>
    </w:p>
    <w:p w14:paraId="7CFE6F8F" w14:textId="77777777" w:rsidR="00601F7A" w:rsidRPr="009C6652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color w:val="000000" w:themeColor="text1"/>
          <w:sz w:val="20"/>
          <w:szCs w:val="20"/>
        </w:rPr>
      </w:pPr>
      <w:r w:rsidRPr="009C6652">
        <w:rPr>
          <w:color w:val="000000" w:themeColor="text1"/>
          <w:sz w:val="20"/>
          <w:szCs w:val="20"/>
          <w:shd w:val="clear" w:color="auto" w:fill="F4CCCC"/>
        </w:rPr>
        <w:t>PCA overlap / collisions</w:t>
      </w:r>
    </w:p>
    <w:p w14:paraId="480AAA73" w14:textId="77777777" w:rsidR="00601F7A" w:rsidRPr="009C6652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color w:val="000000" w:themeColor="text1"/>
          <w:sz w:val="20"/>
          <w:szCs w:val="20"/>
        </w:rPr>
      </w:pPr>
      <w:r w:rsidRPr="009C6652">
        <w:rPr>
          <w:color w:val="000000" w:themeColor="text1"/>
          <w:sz w:val="20"/>
          <w:szCs w:val="20"/>
          <w:shd w:val="clear" w:color="auto" w:fill="F4CCCC"/>
        </w:rPr>
        <w:t>Dependence on the original dataset design</w:t>
      </w:r>
    </w:p>
    <w:p w14:paraId="5C39CE06" w14:textId="77777777" w:rsidR="00601F7A" w:rsidRPr="009C6652" w:rsidRDefault="00000000" w:rsidP="00411E2A">
      <w:pPr>
        <w:pStyle w:val="ListBullet2"/>
        <w:tabs>
          <w:tab w:val="clear" w:pos="720"/>
          <w:tab w:val="num" w:pos="1080"/>
        </w:tabs>
        <w:ind w:left="1080"/>
        <w:rPr>
          <w:color w:val="000000" w:themeColor="text1"/>
          <w:sz w:val="20"/>
          <w:szCs w:val="20"/>
        </w:rPr>
      </w:pPr>
      <w:r w:rsidRPr="009C6652">
        <w:rPr>
          <w:color w:val="000000" w:themeColor="text1"/>
          <w:sz w:val="20"/>
          <w:szCs w:val="20"/>
          <w:shd w:val="clear" w:color="auto" w:fill="F4CCCC"/>
        </w:rPr>
        <w:t>Interpretation vs causation</w:t>
      </w:r>
    </w:p>
    <w:p w14:paraId="4CADA7E1" w14:textId="77777777" w:rsidR="009C6652" w:rsidRDefault="009C6652">
      <w:pPr>
        <w:spacing w:after="200" w:line="276" w:lineRule="auto"/>
        <w:rPr>
          <w:rFonts w:eastAsiaTheme="majorEastAsia"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</w:rPr>
        <w:br w:type="page"/>
      </w:r>
    </w:p>
    <w:p w14:paraId="30A1AAA0" w14:textId="67B9598F" w:rsidR="00601F7A" w:rsidRPr="009C6652" w:rsidRDefault="00000000" w:rsidP="009D2354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665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References (APA)</w:t>
      </w:r>
    </w:p>
    <w:p w14:paraId="451B8BEC" w14:textId="77777777" w:rsidR="00601F7A" w:rsidRPr="009C6652" w:rsidRDefault="00000000" w:rsidP="00411E2A">
      <w:pPr>
        <w:pStyle w:val="ListParagraph"/>
        <w:numPr>
          <w:ilvl w:val="0"/>
          <w:numId w:val="10"/>
        </w:numPr>
        <w:rPr>
          <w:color w:val="000000" w:themeColor="text1"/>
          <w:szCs w:val="24"/>
        </w:rPr>
      </w:pPr>
      <w:r w:rsidRPr="009C6652">
        <w:rPr>
          <w:color w:val="000000" w:themeColor="text1"/>
          <w:szCs w:val="24"/>
        </w:rPr>
        <w:t>Main Paper</w:t>
      </w:r>
    </w:p>
    <w:p w14:paraId="4CD3C7BB" w14:textId="77777777" w:rsidR="00601F7A" w:rsidRPr="009C6652" w:rsidRDefault="00000000" w:rsidP="00411E2A">
      <w:pPr>
        <w:pStyle w:val="ListParagraph"/>
        <w:numPr>
          <w:ilvl w:val="0"/>
          <w:numId w:val="10"/>
        </w:numPr>
        <w:rPr>
          <w:color w:val="000000" w:themeColor="text1"/>
          <w:szCs w:val="24"/>
        </w:rPr>
      </w:pPr>
      <w:r w:rsidRPr="009C6652">
        <w:rPr>
          <w:color w:val="000000" w:themeColor="text1"/>
          <w:szCs w:val="24"/>
        </w:rPr>
        <w:t>NGS overview / background sources</w:t>
      </w:r>
    </w:p>
    <w:p w14:paraId="73A23975" w14:textId="77777777" w:rsidR="00601F7A" w:rsidRPr="009C6652" w:rsidRDefault="00000000" w:rsidP="00411E2A">
      <w:pPr>
        <w:pStyle w:val="ListParagraph"/>
        <w:numPr>
          <w:ilvl w:val="0"/>
          <w:numId w:val="10"/>
        </w:numPr>
        <w:rPr>
          <w:color w:val="000000" w:themeColor="text1"/>
          <w:szCs w:val="24"/>
        </w:rPr>
      </w:pPr>
      <w:r w:rsidRPr="009C6652">
        <w:rPr>
          <w:color w:val="000000" w:themeColor="text1"/>
          <w:szCs w:val="24"/>
        </w:rPr>
        <w:t>Additional papers using or reviewing NGS</w:t>
      </w:r>
    </w:p>
    <w:p w14:paraId="31832641" w14:textId="77777777" w:rsidR="00601F7A" w:rsidRPr="009C6652" w:rsidRDefault="00000000" w:rsidP="00411E2A">
      <w:pPr>
        <w:pStyle w:val="ListParagraph"/>
        <w:numPr>
          <w:ilvl w:val="0"/>
          <w:numId w:val="10"/>
        </w:numPr>
        <w:rPr>
          <w:color w:val="000000" w:themeColor="text1"/>
          <w:szCs w:val="24"/>
        </w:rPr>
      </w:pPr>
      <w:r w:rsidRPr="009C6652">
        <w:rPr>
          <w:color w:val="000000" w:themeColor="text1"/>
          <w:szCs w:val="24"/>
        </w:rPr>
        <w:t>Background sources for the mouse study</w:t>
      </w:r>
    </w:p>
    <w:p w14:paraId="59622935" w14:textId="77777777" w:rsidR="00601F7A" w:rsidRPr="009C6652" w:rsidRDefault="00000000" w:rsidP="009D2354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6652">
        <w:rPr>
          <w:rFonts w:ascii="Times New Roman" w:hAnsi="Times New Roman" w:cs="Times New Roman"/>
          <w:color w:val="000000" w:themeColor="text1"/>
          <w:sz w:val="24"/>
          <w:szCs w:val="24"/>
        </w:rPr>
        <w:t>Code Availability</w:t>
      </w:r>
    </w:p>
    <w:p w14:paraId="25D3C8AC" w14:textId="77777777" w:rsidR="00601F7A" w:rsidRPr="009C6652" w:rsidRDefault="00000000" w:rsidP="00411E2A">
      <w:pPr>
        <w:pStyle w:val="ListParagraph"/>
        <w:numPr>
          <w:ilvl w:val="0"/>
          <w:numId w:val="11"/>
        </w:numPr>
        <w:rPr>
          <w:color w:val="000000" w:themeColor="text1"/>
          <w:szCs w:val="24"/>
        </w:rPr>
      </w:pPr>
      <w:r w:rsidRPr="009C6652">
        <w:rPr>
          <w:color w:val="000000" w:themeColor="text1"/>
          <w:szCs w:val="24"/>
        </w:rPr>
        <w:t>Git repository</w:t>
      </w:r>
    </w:p>
    <w:p w14:paraId="48C62FF9" w14:textId="77777777" w:rsidR="00601F7A" w:rsidRPr="009C6652" w:rsidRDefault="00000000" w:rsidP="00411E2A">
      <w:pPr>
        <w:pStyle w:val="ListParagraph"/>
        <w:numPr>
          <w:ilvl w:val="0"/>
          <w:numId w:val="11"/>
        </w:numPr>
        <w:rPr>
          <w:color w:val="000000" w:themeColor="text1"/>
          <w:szCs w:val="24"/>
        </w:rPr>
      </w:pPr>
      <w:r w:rsidRPr="009C6652">
        <w:rPr>
          <w:color w:val="000000" w:themeColor="text1"/>
          <w:szCs w:val="24"/>
        </w:rPr>
        <w:t>Notebook(s)</w:t>
      </w:r>
    </w:p>
    <w:p w14:paraId="762B33DA" w14:textId="77777777" w:rsidR="00601F7A" w:rsidRPr="009C6652" w:rsidRDefault="00000000" w:rsidP="009D2354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6652">
        <w:rPr>
          <w:rFonts w:ascii="Times New Roman" w:hAnsi="Times New Roman" w:cs="Times New Roman"/>
          <w:color w:val="000000" w:themeColor="text1"/>
          <w:sz w:val="24"/>
          <w:szCs w:val="24"/>
        </w:rPr>
        <w:t>Source Data</w:t>
      </w:r>
    </w:p>
    <w:p w14:paraId="72712E93" w14:textId="77777777" w:rsidR="00601F7A" w:rsidRPr="009C6652" w:rsidRDefault="00000000" w:rsidP="00411E2A">
      <w:pPr>
        <w:pStyle w:val="ListParagraph"/>
        <w:numPr>
          <w:ilvl w:val="0"/>
          <w:numId w:val="12"/>
        </w:numPr>
        <w:rPr>
          <w:color w:val="000000" w:themeColor="text1"/>
          <w:szCs w:val="24"/>
        </w:rPr>
      </w:pPr>
      <w:r w:rsidRPr="009C6652">
        <w:rPr>
          <w:color w:val="000000" w:themeColor="text1"/>
          <w:szCs w:val="24"/>
        </w:rPr>
        <w:t>CSVs / tables supporting plots</w:t>
      </w:r>
    </w:p>
    <w:p w14:paraId="7B14AB52" w14:textId="77777777" w:rsidR="00601F7A" w:rsidRPr="009C6652" w:rsidRDefault="00000000" w:rsidP="00411E2A">
      <w:pPr>
        <w:pStyle w:val="ListParagraph"/>
        <w:numPr>
          <w:ilvl w:val="0"/>
          <w:numId w:val="12"/>
        </w:numPr>
        <w:rPr>
          <w:color w:val="000000" w:themeColor="text1"/>
          <w:szCs w:val="24"/>
        </w:rPr>
      </w:pPr>
      <w:r w:rsidRPr="009C6652">
        <w:rPr>
          <w:color w:val="000000" w:themeColor="text1"/>
          <w:szCs w:val="24"/>
        </w:rPr>
        <w:t>Data frames / exported tables</w:t>
      </w:r>
    </w:p>
    <w:p w14:paraId="62FD549C" w14:textId="77777777" w:rsidR="00601F7A" w:rsidRPr="009C6652" w:rsidRDefault="00000000" w:rsidP="009D2354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6652">
        <w:rPr>
          <w:rFonts w:ascii="Times New Roman" w:hAnsi="Times New Roman" w:cs="Times New Roman"/>
          <w:color w:val="000000" w:themeColor="text1"/>
          <w:sz w:val="24"/>
          <w:szCs w:val="24"/>
        </w:rPr>
        <w:t>Supplemental Material</w:t>
      </w:r>
    </w:p>
    <w:p w14:paraId="3D5A1F68" w14:textId="0F249530" w:rsidR="009C6652" w:rsidRDefault="00000000" w:rsidP="00411E2A">
      <w:pPr>
        <w:pStyle w:val="ListParagraph"/>
        <w:numPr>
          <w:ilvl w:val="0"/>
          <w:numId w:val="13"/>
        </w:numPr>
        <w:rPr>
          <w:color w:val="000000" w:themeColor="text1"/>
          <w:szCs w:val="24"/>
        </w:rPr>
      </w:pPr>
      <w:r w:rsidRPr="009C6652">
        <w:rPr>
          <w:color w:val="000000" w:themeColor="text1"/>
          <w:szCs w:val="24"/>
        </w:rPr>
        <w:t>Full figure set</w:t>
      </w:r>
    </w:p>
    <w:p w14:paraId="4603DFEA" w14:textId="03BAA260" w:rsidR="00601F7A" w:rsidRPr="009C6652" w:rsidRDefault="009C6652" w:rsidP="00411E2A">
      <w:pPr>
        <w:pStyle w:val="ListParagraph"/>
        <w:numPr>
          <w:ilvl w:val="0"/>
          <w:numId w:val="13"/>
        </w:num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A</w:t>
      </w:r>
      <w:r w:rsidRPr="009C6652">
        <w:rPr>
          <w:color w:val="000000" w:themeColor="text1"/>
          <w:szCs w:val="24"/>
        </w:rPr>
        <w:t>dditional supporting outputs</w:t>
      </w:r>
    </w:p>
    <w:sectPr w:rsidR="00601F7A" w:rsidRPr="009C6652" w:rsidSect="0014236E">
      <w:footerReference w:type="even" r:id="rId10"/>
      <w:footerReference w:type="default" r:id="rId11"/>
      <w:pgSz w:w="12226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F451A" w14:textId="77777777" w:rsidR="00D6190B" w:rsidRDefault="00D6190B" w:rsidP="0014236E">
      <w:pPr>
        <w:spacing w:line="240" w:lineRule="auto"/>
      </w:pPr>
      <w:r>
        <w:separator/>
      </w:r>
    </w:p>
  </w:endnote>
  <w:endnote w:type="continuationSeparator" w:id="0">
    <w:p w14:paraId="6BBFCC9D" w14:textId="77777777" w:rsidR="00D6190B" w:rsidRDefault="00D6190B" w:rsidP="001423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86370721"/>
      <w:docPartObj>
        <w:docPartGallery w:val="Page Numbers (Bottom of Page)"/>
        <w:docPartUnique/>
      </w:docPartObj>
    </w:sdtPr>
    <w:sdtContent>
      <w:p w14:paraId="358E0994" w14:textId="492032D8" w:rsidR="0014236E" w:rsidRDefault="0014236E" w:rsidP="00B23EF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BE46F48" w14:textId="77777777" w:rsidR="0014236E" w:rsidRDefault="0014236E" w:rsidP="0014236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30824566"/>
      <w:docPartObj>
        <w:docPartGallery w:val="Page Numbers (Bottom of Page)"/>
        <w:docPartUnique/>
      </w:docPartObj>
    </w:sdtPr>
    <w:sdtContent>
      <w:p w14:paraId="3DE4855E" w14:textId="6F00B0F6" w:rsidR="0014236E" w:rsidRDefault="0014236E" w:rsidP="00B23EF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EC31AB6" w14:textId="77777777" w:rsidR="0014236E" w:rsidRDefault="0014236E" w:rsidP="0014236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26E35" w14:textId="77777777" w:rsidR="00D6190B" w:rsidRDefault="00D6190B" w:rsidP="0014236E">
      <w:pPr>
        <w:spacing w:line="240" w:lineRule="auto"/>
      </w:pPr>
      <w:r>
        <w:separator/>
      </w:r>
    </w:p>
  </w:footnote>
  <w:footnote w:type="continuationSeparator" w:id="0">
    <w:p w14:paraId="08D4EF06" w14:textId="77777777" w:rsidR="00D6190B" w:rsidRDefault="00D6190B" w:rsidP="001423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0C20654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3B4FA1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42451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A2DA6"/>
    <w:multiLevelType w:val="hybridMultilevel"/>
    <w:tmpl w:val="EA403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444E41"/>
    <w:multiLevelType w:val="hybridMultilevel"/>
    <w:tmpl w:val="A0929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725BFB"/>
    <w:multiLevelType w:val="hybridMultilevel"/>
    <w:tmpl w:val="04DCB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E82F61"/>
    <w:multiLevelType w:val="multilevel"/>
    <w:tmpl w:val="8CD2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509C3"/>
    <w:multiLevelType w:val="hybridMultilevel"/>
    <w:tmpl w:val="69E4B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5C0DC5"/>
    <w:multiLevelType w:val="multilevel"/>
    <w:tmpl w:val="BC14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E5EBB"/>
    <w:multiLevelType w:val="multilevel"/>
    <w:tmpl w:val="D4AC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A6707"/>
    <w:multiLevelType w:val="hybridMultilevel"/>
    <w:tmpl w:val="8B444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376840">
    <w:abstractNumId w:val="8"/>
  </w:num>
  <w:num w:numId="2" w16cid:durableId="753362182">
    <w:abstractNumId w:val="6"/>
  </w:num>
  <w:num w:numId="3" w16cid:durableId="2103839798">
    <w:abstractNumId w:val="5"/>
  </w:num>
  <w:num w:numId="4" w16cid:durableId="1629774863">
    <w:abstractNumId w:val="4"/>
  </w:num>
  <w:num w:numId="5" w16cid:durableId="465853437">
    <w:abstractNumId w:val="7"/>
  </w:num>
  <w:num w:numId="6" w16cid:durableId="2018071445">
    <w:abstractNumId w:val="3"/>
  </w:num>
  <w:num w:numId="7" w16cid:durableId="1767454580">
    <w:abstractNumId w:val="2"/>
  </w:num>
  <w:num w:numId="8" w16cid:durableId="53353773">
    <w:abstractNumId w:val="1"/>
  </w:num>
  <w:num w:numId="9" w16cid:durableId="2093551108">
    <w:abstractNumId w:val="0"/>
  </w:num>
  <w:num w:numId="10" w16cid:durableId="525678435">
    <w:abstractNumId w:val="9"/>
  </w:num>
  <w:num w:numId="11" w16cid:durableId="1407339308">
    <w:abstractNumId w:val="10"/>
  </w:num>
  <w:num w:numId="12" w16cid:durableId="890506110">
    <w:abstractNumId w:val="11"/>
  </w:num>
  <w:num w:numId="13" w16cid:durableId="1656640456">
    <w:abstractNumId w:val="16"/>
  </w:num>
  <w:num w:numId="14" w16cid:durableId="821890550">
    <w:abstractNumId w:val="13"/>
  </w:num>
  <w:num w:numId="15" w16cid:durableId="370808760">
    <w:abstractNumId w:val="14"/>
  </w:num>
  <w:num w:numId="16" w16cid:durableId="572928923">
    <w:abstractNumId w:val="12"/>
  </w:num>
  <w:num w:numId="17" w16cid:durableId="13189188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A96"/>
    <w:rsid w:val="00112AAF"/>
    <w:rsid w:val="0014236E"/>
    <w:rsid w:val="0015074B"/>
    <w:rsid w:val="00246B9A"/>
    <w:rsid w:val="00263970"/>
    <w:rsid w:val="0029639D"/>
    <w:rsid w:val="00326F90"/>
    <w:rsid w:val="003E42E2"/>
    <w:rsid w:val="00411E2A"/>
    <w:rsid w:val="0041631D"/>
    <w:rsid w:val="00424212"/>
    <w:rsid w:val="00517D6C"/>
    <w:rsid w:val="00601F7A"/>
    <w:rsid w:val="007E10D1"/>
    <w:rsid w:val="008D616C"/>
    <w:rsid w:val="009C6652"/>
    <w:rsid w:val="009D2354"/>
    <w:rsid w:val="00A477D5"/>
    <w:rsid w:val="00A52D9B"/>
    <w:rsid w:val="00AA1D8D"/>
    <w:rsid w:val="00AA7791"/>
    <w:rsid w:val="00B47730"/>
    <w:rsid w:val="00C04347"/>
    <w:rsid w:val="00C305E2"/>
    <w:rsid w:val="00C7489F"/>
    <w:rsid w:val="00CB0664"/>
    <w:rsid w:val="00D6190B"/>
    <w:rsid w:val="00D8440B"/>
    <w:rsid w:val="00E003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30C1F2"/>
  <w14:defaultImageDpi w14:val="300"/>
  <w15:docId w15:val="{82174740-60A4-484D-A3C6-6D77DDFEA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ListBullet"/>
    <w:next w:val="Normal"/>
    <w:link w:val="Heading2Char"/>
    <w:uiPriority w:val="9"/>
    <w:unhideWhenUsed/>
    <w:qFormat/>
    <w:rsid w:val="0014236E"/>
    <w:pPr>
      <w:outlineLvl w:val="1"/>
    </w:pPr>
    <w:rPr>
      <w:rFonts w:cs="Times New Roman"/>
      <w:color w:val="000000" w:themeColor="text1"/>
      <w:shd w:val="clear" w:color="auto" w:fill="D9D2E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4236E"/>
    <w:rPr>
      <w:rFonts w:ascii="Times New Roman" w:hAnsi="Times New Roman" w:cs="Times New Roman"/>
      <w:color w:val="000000" w:themeColor="text1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142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5:37:30.788"/>
    </inkml:context>
    <inkml:brush xml:id="br0">
      <inkml:brushProperty name="width" value="0.05" units="cm"/>
      <inkml:brushProperty name="height" value="0.3" units="cm"/>
      <inkml:brushProperty name="inkEffects" value="pencil"/>
    </inkml:brush>
  </inkml:definitions>
  <inkml:trace contextRef="#ctx0" brushRef="#br0">0 1 16383,'0'0'0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Piter Garcia</cp:lastModifiedBy>
  <cp:revision>9</cp:revision>
  <cp:lastPrinted>2026-04-09T05:04:00Z</cp:lastPrinted>
  <dcterms:created xsi:type="dcterms:W3CDTF">2026-04-09T05:04:00Z</dcterms:created>
  <dcterms:modified xsi:type="dcterms:W3CDTF">2026-04-09T06:23:00Z</dcterms:modified>
  <cp:category/>
</cp:coreProperties>
</file>