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32"/>
        </w:rPr>
        <w:t>Materials and Methods Draft</w:t>
      </w:r>
    </w:p>
    <w:p>
      <w:pPr>
        <w:spacing w:line="480" w:lineRule="auto"/>
        <w:jc w:val="center"/>
      </w:pPr>
      <w:r>
        <w:rPr>
          <w:rFonts w:ascii="Times New Roman" w:hAnsi="Times New Roman"/>
          <w:b w:val="0"/>
          <w:sz w:val="28"/>
        </w:rPr>
        <w:t>Mouse DRG RNA-seq Follow-up Project</w:t>
      </w:r>
    </w:p>
    <w:p>
      <w:pPr>
        <w:spacing w:line="480" w:lineRule="auto"/>
        <w:jc w:val="center"/>
      </w:pPr>
      <w:r>
        <w:rPr>
          <w:rFonts w:ascii="Times New Roman" w:hAnsi="Times New Roman"/>
          <w:b w:val="0"/>
          <w:sz w:val="24"/>
        </w:rPr>
        <w:t>Piter Garcia</w:t>
      </w:r>
    </w:p>
    <w:p>
      <w:pPr>
        <w:spacing w:line="480" w:lineRule="auto"/>
        <w:jc w:val="center"/>
      </w:pPr>
      <w:r>
        <w:rPr>
          <w:rFonts w:ascii="Times New Roman" w:hAnsi="Times New Roman"/>
          <w:b w:val="0"/>
          <w:sz w:val="24"/>
        </w:rPr>
        <w:t>Draft prepared for BIOL550</w:t>
      </w:r>
    </w:p>
    <w:p>
      <w:pPr>
        <w:pStyle w:val="Heading1"/>
        <w:spacing w:line="480" w:lineRule="auto"/>
      </w:pPr>
      <w:r>
        <w:rPr>
          <w:rFonts w:ascii="Times New Roman" w:hAnsi="Times New Roman"/>
          <w:b/>
          <w:sz w:val="28"/>
        </w:rPr>
        <w:t>Materials and Methods</w:t>
      </w:r>
    </w:p>
    <w:p>
      <w:pPr>
        <w:spacing w:line="480" w:lineRule="auto" w:after="120"/>
      </w:pPr>
      <w:r>
        <w:rPr>
          <w:rFonts w:ascii="Times New Roman" w:hAnsi="Times New Roman"/>
          <w:sz w:val="24"/>
        </w:rPr>
        <w:t>This project reanalyzed mouse DRG bulk RNA-seq after spinal cord injury using four computational stages: Data Collection, Data Cleaning, Data Preparation, and Data Analysis and Interpretation. The working subset comprised 20 NovaSeq X paired-end libraries from SRP618841 (BioProject PRJNA1017789; GEO GSE243308), organized as a balanced side-by-genotype design before quality control, alignment, and differential expression modeling.</w:t>
      </w:r>
    </w:p>
    <w:p>
      <w:pPr>
        <w:spacing w:after="80"/>
        <w:jc w:val="center"/>
      </w:pPr>
      <w:r>
        <w:drawing>
          <wp:inline xmlns:a="http://schemas.openxmlformats.org/drawingml/2006/main" xmlns:pic="http://schemas.openxmlformats.org/drawingml/2006/picture">
            <wp:extent cx="5852160" cy="2178772"/>
            <wp:docPr id="1" name="Picture 1"/>
            <wp:cNvGraphicFramePr>
              <a:graphicFrameLocks noChangeAspect="1"/>
            </wp:cNvGraphicFramePr>
            <a:graphic>
              <a:graphicData uri="http://schemas.openxmlformats.org/drawingml/2006/picture">
                <pic:pic>
                  <pic:nvPicPr>
                    <pic:cNvPr id="0" name="overview_pipeline_stage.png"/>
                    <pic:cNvPicPr/>
                  </pic:nvPicPr>
                  <pic:blipFill>
                    <a:blip r:embed="rId9"/>
                    <a:stretch>
                      <a:fillRect/>
                    </a:stretch>
                  </pic:blipFill>
                  <pic:spPr>
                    <a:xfrm>
                      <a:off x="0" y="0"/>
                      <a:ext cx="5852160" cy="2178772"/>
                    </a:xfrm>
                    <a:prstGeom prst="rect"/>
                  </pic:spPr>
                </pic:pic>
              </a:graphicData>
            </a:graphic>
          </wp:inline>
        </w:drawing>
      </w:r>
    </w:p>
    <w:p>
      <w:pPr>
        <w:spacing w:line="240" w:lineRule="auto" w:after="120"/>
        <w:jc w:val="center"/>
      </w:pPr>
      <w:r>
        <w:rPr>
          <w:rFonts w:ascii="Times New Roman" w:hAnsi="Times New Roman"/>
          <w:b/>
          <w:sz w:val="20"/>
        </w:rPr>
        <w:t xml:space="preserve">Figure 1. </w:t>
      </w:r>
      <w:r>
        <w:rPr>
          <w:rFonts w:ascii="Times New Roman" w:hAnsi="Times New Roman"/>
          <w:sz w:val="20"/>
        </w:rPr>
        <w:t>Overview ribbon summarizing the four computational stages and their stage-owned handoffs in the mouse_new</w:t>
      </w:r>
    </w:p>
    <w:p>
      <w:pPr>
        <w:spacing w:line="240" w:lineRule="auto" w:after="120"/>
        <w:jc w:val="center"/>
      </w:pPr>
      <w:r>
        <w:rPr>
          <w:rFonts w:ascii="Times New Roman" w:hAnsi="Times New Roman"/>
          <w:b/>
          <w:sz w:val="20"/>
        </w:rPr>
        <w:t xml:space="preserve">Table 1. </w:t>
      </w:r>
      <w:r>
        <w:rPr>
          <w:rFonts w:ascii="Times New Roman" w:hAnsi="Times New Roman"/>
          <w:sz w:val="20"/>
        </w:rPr>
        <w:t>Pipeline checkpoint table used to anchor the Methods section to stage-specific evidence.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Stage</w:t>
            </w:r>
          </w:p>
        </w:tc>
        <w:tc>
          <w:tcPr>
            <w:tcW w:type="dxa" w:w="1872"/>
            <w:vAlign w:val="center"/>
            <w:shd w:fill="F2F2F2"/>
          </w:tcPr>
          <w:p>
            <w:pPr>
              <w:spacing w:line="240" w:lineRule="auto" w:after="20"/>
            </w:pPr>
            <w:r/>
            <w:r>
              <w:rPr>
                <w:rFonts w:ascii="Times New Roman" w:hAnsi="Times New Roman"/>
                <w:b/>
                <w:sz w:val="18"/>
              </w:rPr>
              <w:t>Primary artifacts</w:t>
            </w:r>
          </w:p>
        </w:tc>
        <w:tc>
          <w:tcPr>
            <w:tcW w:type="dxa" w:w="1872"/>
            <w:vAlign w:val="center"/>
            <w:shd w:fill="F2F2F2"/>
          </w:tcPr>
          <w:p>
            <w:pPr>
              <w:spacing w:line="240" w:lineRule="auto" w:after="20"/>
            </w:pPr>
            <w:r/>
            <w:r>
              <w:rPr>
                <w:rFonts w:ascii="Times New Roman" w:hAnsi="Times New Roman"/>
                <w:b/>
                <w:sz w:val="18"/>
              </w:rPr>
              <w:t>Core tools</w:t>
            </w:r>
          </w:p>
        </w:tc>
        <w:tc>
          <w:tcPr>
            <w:tcW w:type="dxa" w:w="1872"/>
            <w:vAlign w:val="center"/>
            <w:shd w:fill="F2F2F2"/>
          </w:tcPr>
          <w:p>
            <w:pPr>
              <w:spacing w:line="240" w:lineRule="auto" w:after="20"/>
            </w:pPr>
            <w:r/>
            <w:r>
              <w:rPr>
                <w:rFonts w:ascii="Times New Roman" w:hAnsi="Times New Roman"/>
                <w:b/>
                <w:sz w:val="18"/>
              </w:rPr>
              <w:t>Checkpoint metric</w:t>
            </w:r>
          </w:p>
        </w:tc>
        <w:tc>
          <w:tcPr>
            <w:tcW w:type="dxa" w:w="1872"/>
            <w:vAlign w:val="center"/>
            <w:shd w:fill="F2F2F2"/>
          </w:tcPr>
          <w:p>
            <w:pPr>
              <w:spacing w:line="240" w:lineRule="auto" w:after="20"/>
            </w:pPr>
            <w:r/>
            <w:r>
              <w:rPr>
                <w:rFonts w:ascii="Times New Roman" w:hAnsi="Times New Roman"/>
                <w:b/>
                <w:sz w:val="18"/>
              </w:rPr>
              <w:t>Handoff</w:t>
            </w:r>
          </w:p>
        </w:tc>
      </w:tr>
      <w:tr>
        <w:tc>
          <w:tcPr>
            <w:tcW w:type="dxa" w:w="1872"/>
            <w:vAlign w:val="center"/>
            <w:shd w:fill="EEEAF7"/>
          </w:tcPr>
          <w:p>
            <w:pPr>
              <w:spacing w:line="240" w:lineRule="auto" w:after="20"/>
            </w:pPr>
            <w:r/>
            <w:r>
              <w:rPr>
                <w:rFonts w:ascii="Times New Roman" w:hAnsi="Times New Roman"/>
                <w:sz w:val="18"/>
              </w:rPr>
              <w:t>Collection</w:t>
            </w:r>
          </w:p>
        </w:tc>
        <w:tc>
          <w:tcPr>
            <w:tcW w:type="dxa" w:w="1872"/>
            <w:vAlign w:val="center"/>
          </w:tcPr>
          <w:p>
            <w:pPr>
              <w:spacing w:line="240" w:lineRule="auto" w:after="20"/>
            </w:pPr>
            <w:r/>
            <w:r>
              <w:rPr>
                <w:rFonts w:ascii="Times New Roman" w:hAnsi="Times New Roman"/>
                <w:sz w:val="18"/>
              </w:rPr>
              <w:t>sample table; family sheet</w:t>
            </w:r>
          </w:p>
        </w:tc>
        <w:tc>
          <w:tcPr>
            <w:tcW w:type="dxa" w:w="1872"/>
            <w:vAlign w:val="center"/>
          </w:tcPr>
          <w:p>
            <w:pPr>
              <w:spacing w:line="240" w:lineRule="auto" w:after="20"/>
            </w:pPr>
            <w:r/>
            <w:r>
              <w:rPr>
                <w:rFonts w:ascii="Times New Roman" w:hAnsi="Times New Roman"/>
                <w:sz w:val="18"/>
              </w:rPr>
              <w:t>prefetch + fasterq-dump</w:t>
            </w:r>
          </w:p>
        </w:tc>
        <w:tc>
          <w:tcPr>
            <w:tcW w:type="dxa" w:w="1872"/>
            <w:vAlign w:val="center"/>
          </w:tcPr>
          <w:p>
            <w:pPr>
              <w:spacing w:line="240" w:lineRule="auto" w:after="20"/>
            </w:pPr>
            <w:r/>
            <w:r>
              <w:rPr>
                <w:rFonts w:ascii="Times New Roman" w:hAnsi="Times New Roman"/>
                <w:sz w:val="18"/>
              </w:rPr>
              <w:t>20 SRRs retained; 4 balanced subgroups (n=5 each)</w:t>
            </w:r>
          </w:p>
        </w:tc>
        <w:tc>
          <w:tcPr>
            <w:tcW w:type="dxa" w:w="1872"/>
            <w:vAlign w:val="center"/>
          </w:tcPr>
          <w:p>
            <w:pPr>
              <w:spacing w:line="240" w:lineRule="auto" w:after="20"/>
            </w:pPr>
            <w:r/>
            <w:r>
              <w:rPr>
                <w:rFonts w:ascii="Times New Roman" w:hAnsi="Times New Roman"/>
                <w:sz w:val="18"/>
              </w:rPr>
              <w:t>FASTQ.gz pairs + manifest</w:t>
            </w:r>
          </w:p>
        </w:tc>
      </w:tr>
      <w:tr>
        <w:tc>
          <w:tcPr>
            <w:tcW w:type="dxa" w:w="1872"/>
            <w:vAlign w:val="center"/>
            <w:shd w:fill="EEEAF7"/>
          </w:tcPr>
          <w:p>
            <w:pPr>
              <w:spacing w:line="240" w:lineRule="auto" w:after="20"/>
            </w:pPr>
            <w:r/>
            <w:r>
              <w:rPr>
                <w:rFonts w:ascii="Times New Roman" w:hAnsi="Times New Roman"/>
                <w:sz w:val="18"/>
              </w:rPr>
              <w:t>Cleaning</w:t>
            </w:r>
          </w:p>
        </w:tc>
        <w:tc>
          <w:tcPr>
            <w:tcW w:type="dxa" w:w="1872"/>
            <w:vAlign w:val="center"/>
          </w:tcPr>
          <w:p>
            <w:pPr>
              <w:spacing w:line="240" w:lineRule="auto" w:after="20"/>
            </w:pPr>
            <w:r/>
            <w:r>
              <w:rPr>
                <w:rFonts w:ascii="Times New Roman" w:hAnsi="Times New Roman"/>
                <w:sz w:val="18"/>
              </w:rPr>
              <w:t>QC heatmap; severity delta</w:t>
            </w:r>
          </w:p>
        </w:tc>
        <w:tc>
          <w:tcPr>
            <w:tcW w:type="dxa" w:w="1872"/>
            <w:vAlign w:val="center"/>
          </w:tcPr>
          <w:p>
            <w:pPr>
              <w:spacing w:line="240" w:lineRule="auto" w:after="20"/>
            </w:pPr>
            <w:r/>
            <w:r>
              <w:rPr>
                <w:rFonts w:ascii="Times New Roman" w:hAnsi="Times New Roman"/>
                <w:sz w:val="18"/>
              </w:rPr>
              <w:t>FastQC + MultiQC + fastp</w:t>
            </w:r>
          </w:p>
        </w:tc>
        <w:tc>
          <w:tcPr>
            <w:tcW w:type="dxa" w:w="1872"/>
            <w:vAlign w:val="center"/>
          </w:tcPr>
          <w:p>
            <w:pPr>
              <w:spacing w:line="240" w:lineRule="auto" w:after="20"/>
            </w:pPr>
            <w:r/>
            <w:r>
              <w:rPr>
                <w:rFonts w:ascii="Times New Roman" w:hAnsi="Times New Roman"/>
                <w:sz w:val="18"/>
              </w:rPr>
              <w:t>raw adapter-content failures resolved after trimming</w:t>
            </w:r>
          </w:p>
        </w:tc>
        <w:tc>
          <w:tcPr>
            <w:tcW w:type="dxa" w:w="1872"/>
            <w:vAlign w:val="center"/>
          </w:tcPr>
          <w:p>
            <w:pPr>
              <w:spacing w:line="240" w:lineRule="auto" w:after="20"/>
            </w:pPr>
            <w:r/>
            <w:r>
              <w:rPr>
                <w:rFonts w:ascii="Times New Roman" w:hAnsi="Times New Roman"/>
                <w:sz w:val="18"/>
              </w:rPr>
              <w:t>trimmed read pairs plus per-sample QC reports</w:t>
            </w:r>
          </w:p>
        </w:tc>
      </w:tr>
      <w:tr>
        <w:tc>
          <w:tcPr>
            <w:tcW w:type="dxa" w:w="1872"/>
            <w:vAlign w:val="center"/>
            <w:shd w:fill="EEEAF7"/>
          </w:tcPr>
          <w:p>
            <w:pPr>
              <w:spacing w:line="240" w:lineRule="auto" w:after="20"/>
            </w:pPr>
            <w:r/>
            <w:r>
              <w:rPr>
                <w:rFonts w:ascii="Times New Roman" w:hAnsi="Times New Roman"/>
                <w:sz w:val="18"/>
              </w:rPr>
              <w:t>Preparation</w:t>
            </w:r>
          </w:p>
        </w:tc>
        <w:tc>
          <w:tcPr>
            <w:tcW w:type="dxa" w:w="1872"/>
            <w:vAlign w:val="center"/>
          </w:tcPr>
          <w:p>
            <w:pPr>
              <w:spacing w:line="240" w:lineRule="auto" w:after="20"/>
            </w:pPr>
            <w:r/>
            <w:r>
              <w:rPr>
                <w:rFonts w:ascii="Times New Roman" w:hAnsi="Times New Roman"/>
                <w:sz w:val="18"/>
              </w:rPr>
              <w:t>unique-mapping plot; STAR median summary</w:t>
            </w:r>
          </w:p>
        </w:tc>
        <w:tc>
          <w:tcPr>
            <w:tcW w:type="dxa" w:w="1872"/>
            <w:vAlign w:val="center"/>
          </w:tcPr>
          <w:p>
            <w:pPr>
              <w:spacing w:line="240" w:lineRule="auto" w:after="20"/>
            </w:pPr>
            <w:r/>
            <w:r>
              <w:rPr>
                <w:rFonts w:ascii="Times New Roman" w:hAnsi="Times New Roman"/>
                <w:sz w:val="18"/>
              </w:rPr>
              <w:t>STAR + GeneCounts</w:t>
            </w:r>
          </w:p>
        </w:tc>
        <w:tc>
          <w:tcPr>
            <w:tcW w:type="dxa" w:w="1872"/>
            <w:vAlign w:val="center"/>
          </w:tcPr>
          <w:p>
            <w:pPr>
              <w:spacing w:line="240" w:lineRule="auto" w:after="20"/>
            </w:pPr>
            <w:r/>
            <w:r>
              <w:rPr>
                <w:rFonts w:ascii="Times New Roman" w:hAnsi="Times New Roman"/>
                <w:sz w:val="18"/>
              </w:rPr>
              <w:t>93.23% median unique mapping; 3.82% median noFeature</w:t>
            </w:r>
          </w:p>
        </w:tc>
        <w:tc>
          <w:tcPr>
            <w:tcW w:type="dxa" w:w="1872"/>
            <w:vAlign w:val="center"/>
          </w:tcPr>
          <w:p>
            <w:pPr>
              <w:spacing w:line="240" w:lineRule="auto" w:after="20"/>
            </w:pPr>
            <w:r/>
            <w:r>
              <w:rPr>
                <w:rFonts w:ascii="Times New Roman" w:hAnsi="Times New Roman"/>
                <w:sz w:val="18"/>
              </w:rPr>
              <w:t>sorted BAMs, STAR logs, count tables, and family matrix</w:t>
            </w:r>
          </w:p>
        </w:tc>
      </w:tr>
      <w:tr>
        <w:tc>
          <w:tcPr>
            <w:tcW w:type="dxa" w:w="1872"/>
            <w:vAlign w:val="center"/>
            <w:shd w:fill="EEEAF7"/>
          </w:tcPr>
          <w:p>
            <w:pPr>
              <w:spacing w:line="240" w:lineRule="auto" w:after="20"/>
            </w:pPr>
            <w:r/>
            <w:r>
              <w:rPr>
                <w:rFonts w:ascii="Times New Roman" w:hAnsi="Times New Roman"/>
                <w:sz w:val="18"/>
              </w:rPr>
              <w:t>Analysis</w:t>
            </w:r>
          </w:p>
        </w:tc>
        <w:tc>
          <w:tcPr>
            <w:tcW w:type="dxa" w:w="1872"/>
            <w:vAlign w:val="center"/>
          </w:tcPr>
          <w:p>
            <w:pPr>
              <w:spacing w:line="240" w:lineRule="auto" w:after="20"/>
            </w:pPr>
            <w:r/>
            <w:r>
              <w:rPr>
                <w:rFonts w:ascii="Times New Roman" w:hAnsi="Times New Roman"/>
                <w:sz w:val="18"/>
              </w:rPr>
              <w:t>filtering summary analysis summary g:Profiler source tables</w:t>
            </w:r>
          </w:p>
        </w:tc>
        <w:tc>
          <w:tcPr>
            <w:tcW w:type="dxa" w:w="1872"/>
            <w:vAlign w:val="center"/>
          </w:tcPr>
          <w:p>
            <w:pPr>
              <w:spacing w:line="240" w:lineRule="auto" w:after="20"/>
            </w:pPr>
            <w:r/>
            <w:r>
              <w:rPr>
                <w:rFonts w:ascii="Times New Roman" w:hAnsi="Times New Roman"/>
                <w:sz w:val="18"/>
              </w:rPr>
              <w:t>DESeq2 + bend-point + g:Profiler</w:t>
            </w:r>
          </w:p>
        </w:tc>
        <w:tc>
          <w:tcPr>
            <w:tcW w:type="dxa" w:w="1872"/>
            <w:vAlign w:val="center"/>
          </w:tcPr>
          <w:p>
            <w:pPr>
              <w:spacing w:line="240" w:lineRule="auto" w:after="20"/>
            </w:pPr>
            <w:r/>
            <w:r>
              <w:rPr>
                <w:rFonts w:ascii="Times New Roman" w:hAnsi="Times New Roman"/>
                <w:sz w:val="18"/>
              </w:rPr>
              <w:t>78,334 -&gt; 21,481 genes after filtering; 5 modeled contrasts</w:t>
            </w:r>
          </w:p>
        </w:tc>
        <w:tc>
          <w:tcPr>
            <w:tcW w:type="dxa" w:w="1872"/>
            <w:vAlign w:val="center"/>
          </w:tcPr>
          <w:p>
            <w:pPr>
              <w:spacing w:line="240" w:lineRule="auto" w:after="20"/>
            </w:pPr>
            <w:r/>
            <w:r>
              <w:rPr>
                <w:rFonts w:ascii="Times New Roman" w:hAnsi="Times New Roman"/>
                <w:sz w:val="18"/>
              </w:rPr>
              <w:t>DE tables, bend-point follow-up sets, and enrichment summaries</w:t>
            </w:r>
          </w:p>
        </w:tc>
      </w:tr>
    </w:tbl>
    <w:p/>
    <w:p>
      <w:pPr>
        <w:pStyle w:val="Heading2"/>
        <w:spacing w:line="480" w:lineRule="auto"/>
      </w:pPr>
      <w:r>
        <w:rPr>
          <w:rFonts w:ascii="Times New Roman" w:hAnsi="Times New Roman"/>
          <w:b/>
          <w:sz w:val="24"/>
        </w:rPr>
        <w:t>Data Collection: SRA Acquisition and Sample Organization</w:t>
      </w:r>
    </w:p>
    <w:p>
      <w:pPr>
        <w:spacing w:line="480" w:lineRule="auto" w:after="120"/>
      </w:pPr>
      <w:r>
        <w:rPr>
          <w:rFonts w:ascii="Times New Roman" w:hAnsi="Times New Roman"/>
          <w:sz w:val="24"/>
        </w:rPr>
        <w:t>The analysis began with the published DRG RNA-seq study SRP618841, linked to BioProject PRJNA1017789 and GEO series GSE243308. Public runs were retrieved using the project wrappers around prefetch and fasterq-dump, and the local workflow retained 20 paired-end NovaSeq X libraries from the 1-day-post-injury DRG subset. Recording this accession lineage was important because the downstream paper draft required a precise description of the reanalyzed dataset rather than a generic reference to ``the mouse dataset.''</w:t>
      </w:r>
    </w:p>
    <w:p>
      <w:pPr>
        <w:spacing w:line="480" w:lineRule="auto" w:after="120"/>
      </w:pPr>
      <w:r>
        <w:rPr>
          <w:rFonts w:ascii="Times New Roman" w:hAnsi="Times New Roman"/>
          <w:sz w:val="24"/>
        </w:rPr>
        <w:t>After download, metadata were consolidated into a design-aware sample table rather than being left as file-name strings. Each retained sample was annotated by side_class (ipsi or contra), geno_class (ff or cre), and the derived condition_family. This step established the balanced 22 design used in the DESeq2 model and in subsequent interpretation.</w:t>
      </w:r>
    </w:p>
    <w:p>
      <w:pPr>
        <w:spacing w:after="80"/>
        <w:jc w:val="center"/>
      </w:pPr>
      <w:r>
        <w:drawing>
          <wp:inline xmlns:a="http://schemas.openxmlformats.org/drawingml/2006/main" xmlns:pic="http://schemas.openxmlformats.org/drawingml/2006/picture">
            <wp:extent cx="5852160" cy="2606106"/>
            <wp:docPr id="2" name="Picture 2"/>
            <wp:cNvGraphicFramePr>
              <a:graphicFrameLocks noChangeAspect="1"/>
            </wp:cNvGraphicFramePr>
            <a:graphic>
              <a:graphicData uri="http://schemas.openxmlformats.org/drawingml/2006/picture">
                <pic:pic>
                  <pic:nvPicPr>
                    <pic:cNvPr id="0" name="data_collection_stage.png"/>
                    <pic:cNvPicPr/>
                  </pic:nvPicPr>
                  <pic:blipFill>
                    <a:blip r:embed="rId10"/>
                    <a:stretch>
                      <a:fillRect/>
                    </a:stretch>
                  </pic:blipFill>
                  <pic:spPr>
                    <a:xfrm>
                      <a:off x="0" y="0"/>
                      <a:ext cx="5852160" cy="2606106"/>
                    </a:xfrm>
                    <a:prstGeom prst="rect"/>
                  </pic:spPr>
                </pic:pic>
              </a:graphicData>
            </a:graphic>
          </wp:inline>
        </w:drawing>
      </w:r>
    </w:p>
    <w:p>
      <w:pPr>
        <w:spacing w:line="240" w:lineRule="auto" w:after="120"/>
        <w:jc w:val="center"/>
      </w:pPr>
      <w:r>
        <w:rPr>
          <w:rFonts w:ascii="Times New Roman" w:hAnsi="Times New Roman"/>
          <w:b/>
          <w:sz w:val="20"/>
        </w:rPr>
        <w:t xml:space="preserve">Figure 2. </w:t>
      </w:r>
      <w:r>
        <w:rPr>
          <w:rFonts w:ascii="Times New Roman" w:hAnsi="Times New Roman"/>
          <w:sz w:val="20"/>
        </w:rPr>
        <w:t>Rebuilt Data Collection stage figure derived from the saved project metadata and design tables.</w:t>
      </w:r>
    </w:p>
    <w:p>
      <w:pPr>
        <w:spacing w:line="240" w:lineRule="auto" w:after="120"/>
        <w:jc w:val="center"/>
      </w:pPr>
      <w:r>
        <w:rPr>
          <w:rFonts w:ascii="Times New Roman" w:hAnsi="Times New Roman"/>
          <w:b/>
          <w:sz w:val="20"/>
        </w:rPr>
        <w:t xml:space="preserve">Table 2. </w:t>
      </w:r>
      <w:r>
        <w:rPr>
          <w:rFonts w:ascii="Times New Roman" w:hAnsi="Times New Roman"/>
          <w:sz w:val="20"/>
        </w:rPr>
        <w:t>Data Collection stage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Substage</w:t>
            </w:r>
          </w:p>
        </w:tc>
        <w:tc>
          <w:tcPr>
            <w:tcW w:type="dxa" w:w="1872"/>
            <w:vAlign w:val="center"/>
            <w:shd w:fill="F2F2F2"/>
          </w:tcPr>
          <w:p>
            <w:pPr>
              <w:spacing w:line="240" w:lineRule="auto" w:after="20"/>
            </w:pPr>
            <w:r/>
            <w:r>
              <w:rPr>
                <w:rFonts w:ascii="Times New Roman" w:hAnsi="Times New Roman"/>
                <w:b/>
                <w:sz w:val="18"/>
              </w:rPr>
              <w:t>Input</w:t>
            </w:r>
          </w:p>
        </w:tc>
        <w:tc>
          <w:tcPr>
            <w:tcW w:type="dxa" w:w="1872"/>
            <w:vAlign w:val="center"/>
            <w:shd w:fill="F2F2F2"/>
          </w:tcPr>
          <w:p>
            <w:pPr>
              <w:spacing w:line="240" w:lineRule="auto" w:after="20"/>
            </w:pPr>
            <w:r/>
            <w:r>
              <w:rPr>
                <w:rFonts w:ascii="Times New Roman" w:hAnsi="Times New Roman"/>
                <w:b/>
                <w:sz w:val="18"/>
              </w:rPr>
              <w:t>Tool</w:t>
            </w:r>
          </w:p>
        </w:tc>
        <w:tc>
          <w:tcPr>
            <w:tcW w:type="dxa" w:w="1872"/>
            <w:vAlign w:val="center"/>
            <w:shd w:fill="F2F2F2"/>
          </w:tcPr>
          <w:p>
            <w:pPr>
              <w:spacing w:line="240" w:lineRule="auto" w:after="20"/>
            </w:pPr>
            <w:r/>
            <w:r>
              <w:rPr>
                <w:rFonts w:ascii="Times New Roman" w:hAnsi="Times New Roman"/>
                <w:b/>
                <w:sz w:val="18"/>
              </w:rPr>
              <w:t>Checkpoint artifact / evidence</w:t>
            </w:r>
          </w:p>
        </w:tc>
        <w:tc>
          <w:tcPr>
            <w:tcW w:type="dxa" w:w="1872"/>
            <w:vAlign w:val="center"/>
            <w:shd w:fill="F2F2F2"/>
          </w:tcPr>
          <w:p>
            <w:pPr>
              <w:spacing w:line="240" w:lineRule="auto" w:after="20"/>
            </w:pPr>
            <w:r/>
            <w:r>
              <w:rPr>
                <w:rFonts w:ascii="Times New Roman" w:hAnsi="Times New Roman"/>
                <w:b/>
                <w:sz w:val="18"/>
              </w:rPr>
              <w:t>Why it mattered</w:t>
            </w:r>
          </w:p>
        </w:tc>
      </w:tr>
      <w:tr>
        <w:tc>
          <w:tcPr>
            <w:tcW w:type="dxa" w:w="1872"/>
            <w:vAlign w:val="center"/>
            <w:shd w:fill="EEEAF7"/>
          </w:tcPr>
          <w:p>
            <w:pPr>
              <w:spacing w:line="240" w:lineRule="auto" w:after="20"/>
            </w:pPr>
            <w:r/>
            <w:r>
              <w:rPr>
                <w:rFonts w:ascii="Times New Roman" w:hAnsi="Times New Roman"/>
                <w:sz w:val="18"/>
              </w:rPr>
              <w:t>Study provenance</w:t>
            </w:r>
          </w:p>
        </w:tc>
        <w:tc>
          <w:tcPr>
            <w:tcW w:type="dxa" w:w="1872"/>
            <w:vAlign w:val="center"/>
          </w:tcPr>
          <w:p>
            <w:pPr>
              <w:spacing w:line="240" w:lineRule="auto" w:after="20"/>
            </w:pPr>
            <w:r/>
            <w:r>
              <w:rPr>
                <w:rFonts w:ascii="Times New Roman" w:hAnsi="Times New Roman"/>
                <w:sz w:val="18"/>
              </w:rPr>
              <w:t>public accession records</w:t>
            </w:r>
          </w:p>
        </w:tc>
        <w:tc>
          <w:tcPr>
            <w:tcW w:type="dxa" w:w="1872"/>
            <w:vAlign w:val="center"/>
          </w:tcPr>
          <w:p>
            <w:pPr>
              <w:spacing w:line="240" w:lineRule="auto" w:after="20"/>
            </w:pPr>
            <w:r/>
            <w:r>
              <w:rPr>
                <w:rFonts w:ascii="Times New Roman" w:hAnsi="Times New Roman"/>
                <w:sz w:val="18"/>
              </w:rPr>
              <w:t>SRA / GEO review</w:t>
            </w:r>
          </w:p>
        </w:tc>
        <w:tc>
          <w:tcPr>
            <w:tcW w:type="dxa" w:w="1872"/>
            <w:vAlign w:val="center"/>
          </w:tcPr>
          <w:p>
            <w:pPr>
              <w:spacing w:line="240" w:lineRule="auto" w:after="20"/>
            </w:pPr>
            <w:r/>
            <w:r>
              <w:rPr>
                <w:rFonts w:ascii="Times New Roman" w:hAnsi="Times New Roman"/>
                <w:sz w:val="18"/>
              </w:rPr>
              <w:t>accession lineage shown in the corresponding figure: SRP618841 -&gt; PRJNA1017789 -&gt; GSE243308</w:t>
            </w:r>
          </w:p>
        </w:tc>
        <w:tc>
          <w:tcPr>
            <w:tcW w:type="dxa" w:w="1872"/>
            <w:vAlign w:val="center"/>
          </w:tcPr>
          <w:p>
            <w:pPr>
              <w:spacing w:line="240" w:lineRule="auto" w:after="20"/>
            </w:pPr>
            <w:r/>
            <w:r>
              <w:rPr>
                <w:rFonts w:ascii="Times New Roman" w:hAnsi="Times New Roman"/>
                <w:sz w:val="18"/>
              </w:rPr>
              <w:t>anchors the Methods section to the exact source study</w:t>
            </w:r>
          </w:p>
        </w:tc>
      </w:tr>
      <w:tr>
        <w:tc>
          <w:tcPr>
            <w:tcW w:type="dxa" w:w="1872"/>
            <w:vAlign w:val="center"/>
            <w:shd w:fill="EEEAF7"/>
          </w:tcPr>
          <w:p>
            <w:pPr>
              <w:spacing w:line="240" w:lineRule="auto" w:after="20"/>
            </w:pPr>
            <w:r/>
            <w:r>
              <w:rPr>
                <w:rFonts w:ascii="Times New Roman" w:hAnsi="Times New Roman"/>
                <w:sz w:val="18"/>
              </w:rPr>
              <w:t>Run acquisition</w:t>
            </w:r>
          </w:p>
        </w:tc>
        <w:tc>
          <w:tcPr>
            <w:tcW w:type="dxa" w:w="1872"/>
            <w:vAlign w:val="center"/>
          </w:tcPr>
          <w:p>
            <w:pPr>
              <w:spacing w:line="240" w:lineRule="auto" w:after="20"/>
            </w:pPr>
            <w:r/>
            <w:r>
              <w:rPr>
                <w:rFonts w:ascii="Times New Roman" w:hAnsi="Times New Roman"/>
                <w:sz w:val="18"/>
              </w:rPr>
              <w:t>public SRA runs</w:t>
            </w:r>
          </w:p>
        </w:tc>
        <w:tc>
          <w:tcPr>
            <w:tcW w:type="dxa" w:w="1872"/>
            <w:vAlign w:val="center"/>
          </w:tcPr>
          <w:p>
            <w:pPr>
              <w:spacing w:line="240" w:lineRule="auto" w:after="20"/>
            </w:pPr>
            <w:r/>
            <w:r>
              <w:rPr>
                <w:rFonts w:ascii="Times New Roman" w:hAnsi="Times New Roman"/>
                <w:sz w:val="18"/>
              </w:rPr>
              <w:t>prefetch fasterq-dump</w:t>
            </w:r>
          </w:p>
        </w:tc>
        <w:tc>
          <w:tcPr>
            <w:tcW w:type="dxa" w:w="1872"/>
            <w:vAlign w:val="center"/>
          </w:tcPr>
          <w:p>
            <w:pPr>
              <w:spacing w:line="240" w:lineRule="auto" w:after="20"/>
            </w:pPr>
            <w:r/>
            <w:r>
              <w:rPr>
                <w:rFonts w:ascii="Times New Roman" w:hAnsi="Times New Roman"/>
                <w:sz w:val="18"/>
              </w:rPr>
              <w:t>paired-end FASTQ.gz files plus the local run manifest; 20 retained SRRs from the DRG / NovaSeq X subset</w:t>
            </w:r>
          </w:p>
        </w:tc>
        <w:tc>
          <w:tcPr>
            <w:tcW w:type="dxa" w:w="1872"/>
            <w:vAlign w:val="center"/>
          </w:tcPr>
          <w:p>
            <w:pPr>
              <w:spacing w:line="240" w:lineRule="auto" w:after="20"/>
            </w:pPr>
            <w:r/>
            <w:r>
              <w:rPr>
                <w:rFonts w:ascii="Times New Roman" w:hAnsi="Times New Roman"/>
                <w:sz w:val="18"/>
              </w:rPr>
              <w:t>creates the fixed read set used throughout the pipeline</w:t>
            </w:r>
          </w:p>
        </w:tc>
      </w:tr>
      <w:tr>
        <w:tc>
          <w:tcPr>
            <w:tcW w:type="dxa" w:w="1872"/>
            <w:vAlign w:val="center"/>
            <w:shd w:fill="EEEAF7"/>
          </w:tcPr>
          <w:p>
            <w:pPr>
              <w:spacing w:line="240" w:lineRule="auto" w:after="20"/>
            </w:pPr>
            <w:r/>
            <w:r>
              <w:rPr>
                <w:rFonts w:ascii="Times New Roman" w:hAnsi="Times New Roman"/>
                <w:sz w:val="18"/>
              </w:rPr>
              <w:t>Design mapping</w:t>
            </w:r>
          </w:p>
        </w:tc>
        <w:tc>
          <w:tcPr>
            <w:tcW w:type="dxa" w:w="1872"/>
            <w:vAlign w:val="center"/>
          </w:tcPr>
          <w:p>
            <w:pPr>
              <w:spacing w:line="240" w:lineRule="auto" w:after="20"/>
            </w:pPr>
            <w:r/>
            <w:r>
              <w:rPr>
                <w:rFonts w:ascii="Times New Roman" w:hAnsi="Times New Roman"/>
                <w:sz w:val="18"/>
              </w:rPr>
              <w:t>run manifest + sample titles</w:t>
            </w:r>
          </w:p>
        </w:tc>
        <w:tc>
          <w:tcPr>
            <w:tcW w:type="dxa" w:w="1872"/>
            <w:vAlign w:val="center"/>
          </w:tcPr>
          <w:p>
            <w:pPr>
              <w:spacing w:line="240" w:lineRule="auto" w:after="20"/>
            </w:pPr>
            <w:r/>
            <w:r>
              <w:rPr>
                <w:rFonts w:ascii="Times New Roman" w:hAnsi="Times New Roman"/>
                <w:sz w:val="18"/>
              </w:rPr>
              <w:t>local manifest assembly</w:t>
            </w:r>
          </w:p>
        </w:tc>
        <w:tc>
          <w:tcPr>
            <w:tcW w:type="dxa" w:w="1872"/>
            <w:vAlign w:val="center"/>
          </w:tcPr>
          <w:p>
            <w:pPr>
              <w:spacing w:line="240" w:lineRule="auto" w:after="20"/>
            </w:pPr>
            <w:r/>
            <w:r>
              <w:rPr>
                <w:rFonts w:ascii="Times New Roman" w:hAnsi="Times New Roman"/>
                <w:sz w:val="18"/>
              </w:rPr>
              <w:t>design table and family sample sheet; 5 samples in each subgroup</w:t>
            </w:r>
          </w:p>
        </w:tc>
        <w:tc>
          <w:tcPr>
            <w:tcW w:type="dxa" w:w="1872"/>
            <w:vAlign w:val="center"/>
          </w:tcPr>
          <w:p>
            <w:pPr>
              <w:spacing w:line="240" w:lineRule="auto" w:after="20"/>
            </w:pPr>
            <w:r/>
            <w:r>
              <w:rPr>
                <w:rFonts w:ascii="Times New Roman" w:hAnsi="Times New Roman"/>
                <w:sz w:val="18"/>
              </w:rPr>
              <w:t>makes the side/genotype structure explicit before PCA and DE modeling</w:t>
            </w:r>
          </w:p>
        </w:tc>
      </w:tr>
    </w:tbl>
    <w:p/>
    <w:p>
      <w:pPr>
        <w:pStyle w:val="Heading2"/>
        <w:spacing w:line="480" w:lineRule="auto"/>
      </w:pPr>
      <w:r>
        <w:rPr>
          <w:rFonts w:ascii="Times New Roman" w:hAnsi="Times New Roman"/>
          <w:b/>
          <w:sz w:val="24"/>
        </w:rPr>
        <w:t>Data Cleaning: Quality Control and Read Trimming</w:t>
      </w:r>
    </w:p>
    <w:p>
      <w:pPr>
        <w:spacing w:line="480" w:lineRule="auto" w:after="120"/>
      </w:pPr>
      <w:r>
        <w:rPr>
          <w:rFonts w:ascii="Times New Roman" w:hAnsi="Times New Roman"/>
          <w:sz w:val="24"/>
        </w:rPr>
        <w:t>Raw read quality was evaluated with FastQC, and cohort-level summaries were consolidated with MultiQC. This stage was treated as a documented checkpoint rather than a minimal preprocessing step, so before-and-after QC artifacts were retained to show the effect of trimming explicitly. The local workflow used fastp v0.23.2 as the canonical cleanup tool because it provided a reproducible paired-end workflow and resolved adapter-related signal more effectively than the earlier baseline.</w:t>
      </w:r>
    </w:p>
    <w:p>
      <w:pPr>
        <w:spacing w:line="480" w:lineRule="auto" w:after="120"/>
      </w:pPr>
      <w:r>
        <w:rPr>
          <w:rFonts w:ascii="Times New Roman" w:hAnsi="Times New Roman"/>
          <w:sz w:val="24"/>
        </w:rPr>
        <w:t>The retained fastp configuration used paired-end adapter detection, poly-G trimming, a mean-quality cutoff of 20, a minimum retained length of 30 bases, and per-sample HTML/JSON reporting. In the corresponding figure, the left panel shows the module-status heatmap and the right panel shows the SRR-level severity-change plot. Together, these artifacts document a consistent improvement in read quality across the cohort before alignment.</w:t>
      </w:r>
    </w:p>
    <w:p>
      <w:pPr>
        <w:spacing w:after="80"/>
        <w:jc w:val="center"/>
      </w:pPr>
      <w:r>
        <w:drawing>
          <wp:inline xmlns:a="http://schemas.openxmlformats.org/drawingml/2006/main" xmlns:pic="http://schemas.openxmlformats.org/drawingml/2006/picture">
            <wp:extent cx="5852160" cy="2862301"/>
            <wp:docPr id="3" name="Picture 3"/>
            <wp:cNvGraphicFramePr>
              <a:graphicFrameLocks noChangeAspect="1"/>
            </wp:cNvGraphicFramePr>
            <a:graphic>
              <a:graphicData uri="http://schemas.openxmlformats.org/drawingml/2006/picture">
                <pic:pic>
                  <pic:nvPicPr>
                    <pic:cNvPr id="0" name="data_cleaning_stage.png"/>
                    <pic:cNvPicPr/>
                  </pic:nvPicPr>
                  <pic:blipFill>
                    <a:blip r:embed="rId11"/>
                    <a:stretch>
                      <a:fillRect/>
                    </a:stretch>
                  </pic:blipFill>
                  <pic:spPr>
                    <a:xfrm>
                      <a:off x="0" y="0"/>
                      <a:ext cx="5852160" cy="2862301"/>
                    </a:xfrm>
                    <a:prstGeom prst="rect"/>
                  </pic:spPr>
                </pic:pic>
              </a:graphicData>
            </a:graphic>
          </wp:inline>
        </w:drawing>
      </w:r>
    </w:p>
    <w:p>
      <w:pPr>
        <w:spacing w:line="240" w:lineRule="auto" w:after="120"/>
        <w:jc w:val="center"/>
      </w:pPr>
      <w:r>
        <w:rPr>
          <w:rFonts w:ascii="Times New Roman" w:hAnsi="Times New Roman"/>
          <w:b/>
          <w:sz w:val="20"/>
        </w:rPr>
        <w:t xml:space="preserve">Figure 3. </w:t>
      </w:r>
      <w:r>
        <w:rPr>
          <w:rFonts w:ascii="Times New Roman" w:hAnsi="Times New Roman"/>
          <w:sz w:val="20"/>
        </w:rPr>
        <w:t>Data Cleaning stage figure using retained QC artifacts and a rebuilt checkpoint strip.</w:t>
      </w:r>
    </w:p>
    <w:p>
      <w:pPr>
        <w:spacing w:line="240" w:lineRule="auto" w:after="120"/>
        <w:jc w:val="center"/>
      </w:pPr>
      <w:r>
        <w:rPr>
          <w:rFonts w:ascii="Times New Roman" w:hAnsi="Times New Roman"/>
          <w:b/>
          <w:sz w:val="20"/>
        </w:rPr>
        <w:t xml:space="preserve">Table 3. </w:t>
      </w:r>
      <w:r>
        <w:rPr>
          <w:rFonts w:ascii="Times New Roman" w:hAnsi="Times New Roman"/>
          <w:sz w:val="20"/>
        </w:rPr>
        <w:t>Data Cleaning stage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Substage</w:t>
            </w:r>
          </w:p>
        </w:tc>
        <w:tc>
          <w:tcPr>
            <w:tcW w:type="dxa" w:w="1872"/>
            <w:vAlign w:val="center"/>
            <w:shd w:fill="F2F2F2"/>
          </w:tcPr>
          <w:p>
            <w:pPr>
              <w:spacing w:line="240" w:lineRule="auto" w:after="20"/>
            </w:pPr>
            <w:r/>
            <w:r>
              <w:rPr>
                <w:rFonts w:ascii="Times New Roman" w:hAnsi="Times New Roman"/>
                <w:b/>
                <w:sz w:val="18"/>
              </w:rPr>
              <w:t>Input</w:t>
            </w:r>
          </w:p>
        </w:tc>
        <w:tc>
          <w:tcPr>
            <w:tcW w:type="dxa" w:w="1872"/>
            <w:vAlign w:val="center"/>
            <w:shd w:fill="F2F2F2"/>
          </w:tcPr>
          <w:p>
            <w:pPr>
              <w:spacing w:line="240" w:lineRule="auto" w:after="20"/>
            </w:pPr>
            <w:r/>
            <w:r>
              <w:rPr>
                <w:rFonts w:ascii="Times New Roman" w:hAnsi="Times New Roman"/>
                <w:b/>
                <w:sz w:val="18"/>
              </w:rPr>
              <w:t>Tool</w:t>
            </w:r>
          </w:p>
        </w:tc>
        <w:tc>
          <w:tcPr>
            <w:tcW w:type="dxa" w:w="1872"/>
            <w:vAlign w:val="center"/>
            <w:shd w:fill="F2F2F2"/>
          </w:tcPr>
          <w:p>
            <w:pPr>
              <w:spacing w:line="240" w:lineRule="auto" w:after="20"/>
            </w:pPr>
            <w:r/>
            <w:r>
              <w:rPr>
                <w:rFonts w:ascii="Times New Roman" w:hAnsi="Times New Roman"/>
                <w:b/>
                <w:sz w:val="18"/>
              </w:rPr>
              <w:t>Checkpoint artifact / evidence</w:t>
            </w:r>
          </w:p>
        </w:tc>
        <w:tc>
          <w:tcPr>
            <w:tcW w:type="dxa" w:w="1872"/>
            <w:vAlign w:val="center"/>
            <w:shd w:fill="F2F2F2"/>
          </w:tcPr>
          <w:p>
            <w:pPr>
              <w:spacing w:line="240" w:lineRule="auto" w:after="20"/>
            </w:pPr>
            <w:r/>
            <w:r>
              <w:rPr>
                <w:rFonts w:ascii="Times New Roman" w:hAnsi="Times New Roman"/>
                <w:b/>
                <w:sz w:val="18"/>
              </w:rPr>
              <w:t>Why it mattered</w:t>
            </w:r>
          </w:p>
        </w:tc>
      </w:tr>
      <w:tr>
        <w:tc>
          <w:tcPr>
            <w:tcW w:type="dxa" w:w="1872"/>
            <w:vAlign w:val="center"/>
            <w:shd w:fill="EEEAF7"/>
          </w:tcPr>
          <w:p>
            <w:pPr>
              <w:spacing w:line="240" w:lineRule="auto" w:after="20"/>
            </w:pPr>
            <w:r/>
            <w:r>
              <w:rPr>
                <w:rFonts w:ascii="Times New Roman" w:hAnsi="Times New Roman"/>
                <w:sz w:val="18"/>
              </w:rPr>
              <w:t>Raw QC</w:t>
            </w:r>
          </w:p>
        </w:tc>
        <w:tc>
          <w:tcPr>
            <w:tcW w:type="dxa" w:w="1872"/>
            <w:vAlign w:val="center"/>
          </w:tcPr>
          <w:p>
            <w:pPr>
              <w:spacing w:line="240" w:lineRule="auto" w:after="20"/>
            </w:pPr>
            <w:r/>
            <w:r>
              <w:rPr>
                <w:rFonts w:ascii="Times New Roman" w:hAnsi="Times New Roman"/>
                <w:sz w:val="18"/>
              </w:rPr>
              <w:t>raw paired-end reads</w:t>
            </w:r>
          </w:p>
        </w:tc>
        <w:tc>
          <w:tcPr>
            <w:tcW w:type="dxa" w:w="1872"/>
            <w:vAlign w:val="center"/>
          </w:tcPr>
          <w:p>
            <w:pPr>
              <w:spacing w:line="240" w:lineRule="auto" w:after="20"/>
            </w:pPr>
            <w:r/>
            <w:r>
              <w:rPr>
                <w:rFonts w:ascii="Times New Roman" w:hAnsi="Times New Roman"/>
                <w:sz w:val="18"/>
              </w:rPr>
              <w:t>FastQC + MultiQC</w:t>
            </w:r>
          </w:p>
        </w:tc>
        <w:tc>
          <w:tcPr>
            <w:tcW w:type="dxa" w:w="1872"/>
            <w:vAlign w:val="center"/>
          </w:tcPr>
          <w:p>
            <w:pPr>
              <w:spacing w:line="240" w:lineRule="auto" w:after="20"/>
            </w:pPr>
            <w:r/>
            <w:r>
              <w:rPr>
                <w:rFonts w:ascii="Times New Roman" w:hAnsi="Times New Roman"/>
                <w:sz w:val="18"/>
              </w:rPr>
              <w:t>raw module-status heatmap and cohort QC summary; adapter-content failures across all 40 raw read files</w:t>
            </w:r>
          </w:p>
        </w:tc>
        <w:tc>
          <w:tcPr>
            <w:tcW w:type="dxa" w:w="1872"/>
            <w:vAlign w:val="center"/>
          </w:tcPr>
          <w:p>
            <w:pPr>
              <w:spacing w:line="240" w:lineRule="auto" w:after="20"/>
            </w:pPr>
            <w:r/>
            <w:r>
              <w:rPr>
                <w:rFonts w:ascii="Times New Roman" w:hAnsi="Times New Roman"/>
                <w:sz w:val="18"/>
              </w:rPr>
              <w:t>establishes the baseline quality state before trimming</w:t>
            </w:r>
          </w:p>
        </w:tc>
      </w:tr>
      <w:tr>
        <w:tc>
          <w:tcPr>
            <w:tcW w:type="dxa" w:w="1872"/>
            <w:vAlign w:val="center"/>
            <w:shd w:fill="EEEAF7"/>
          </w:tcPr>
          <w:p>
            <w:pPr>
              <w:spacing w:line="240" w:lineRule="auto" w:after="20"/>
            </w:pPr>
            <w:r/>
            <w:r>
              <w:rPr>
                <w:rFonts w:ascii="Times New Roman" w:hAnsi="Times New Roman"/>
                <w:sz w:val="18"/>
              </w:rPr>
              <w:t>Read trimming</w:t>
            </w:r>
          </w:p>
        </w:tc>
        <w:tc>
          <w:tcPr>
            <w:tcW w:type="dxa" w:w="1872"/>
            <w:vAlign w:val="center"/>
          </w:tcPr>
          <w:p>
            <w:pPr>
              <w:spacing w:line="240" w:lineRule="auto" w:after="20"/>
            </w:pPr>
            <w:r/>
            <w:r>
              <w:rPr>
                <w:rFonts w:ascii="Times New Roman" w:hAnsi="Times New Roman"/>
                <w:sz w:val="18"/>
              </w:rPr>
              <w:t>raw FASTQ.gz pairs</w:t>
            </w:r>
          </w:p>
        </w:tc>
        <w:tc>
          <w:tcPr>
            <w:tcW w:type="dxa" w:w="1872"/>
            <w:vAlign w:val="center"/>
          </w:tcPr>
          <w:p>
            <w:pPr>
              <w:spacing w:line="240" w:lineRule="auto" w:after="20"/>
            </w:pPr>
            <w:r/>
            <w:r>
              <w:rPr>
                <w:rFonts w:ascii="Times New Roman" w:hAnsi="Times New Roman"/>
                <w:sz w:val="18"/>
              </w:rPr>
              <w:t>fastp v0.23.2</w:t>
            </w:r>
          </w:p>
        </w:tc>
        <w:tc>
          <w:tcPr>
            <w:tcW w:type="dxa" w:w="1872"/>
            <w:vAlign w:val="center"/>
          </w:tcPr>
          <w:p>
            <w:pPr>
              <w:spacing w:line="240" w:lineRule="auto" w:after="20"/>
            </w:pPr>
            <w:r/>
            <w:r>
              <w:rPr>
                <w:rFonts w:ascii="Times New Roman" w:hAnsi="Times New Roman"/>
                <w:sz w:val="18"/>
              </w:rPr>
              <w:t>trimmed read pairs per-sample HTML/JSON reports; PE adapter detect, Q20 cutoff, min length 30 bp, poly-G trimming</w:t>
            </w:r>
          </w:p>
        </w:tc>
        <w:tc>
          <w:tcPr>
            <w:tcW w:type="dxa" w:w="1872"/>
            <w:vAlign w:val="center"/>
          </w:tcPr>
          <w:p>
            <w:pPr>
              <w:spacing w:line="240" w:lineRule="auto" w:after="20"/>
            </w:pPr>
            <w:r/>
            <w:r>
              <w:rPr>
                <w:rFonts w:ascii="Times New Roman" w:hAnsi="Times New Roman"/>
                <w:sz w:val="18"/>
              </w:rPr>
              <w:t>standardizes cleanup across all retained libraries</w:t>
            </w:r>
          </w:p>
        </w:tc>
      </w:tr>
      <w:tr>
        <w:tc>
          <w:tcPr>
            <w:tcW w:type="dxa" w:w="1872"/>
            <w:vAlign w:val="center"/>
            <w:shd w:fill="EEEAF7"/>
          </w:tcPr>
          <w:p>
            <w:pPr>
              <w:spacing w:line="240" w:lineRule="auto" w:after="20"/>
            </w:pPr>
            <w:r/>
            <w:r>
              <w:rPr>
                <w:rFonts w:ascii="Times New Roman" w:hAnsi="Times New Roman"/>
                <w:sz w:val="18"/>
              </w:rPr>
              <w:t>Post-trim checkpoint</w:t>
            </w:r>
          </w:p>
        </w:tc>
        <w:tc>
          <w:tcPr>
            <w:tcW w:type="dxa" w:w="1872"/>
            <w:vAlign w:val="center"/>
          </w:tcPr>
          <w:p>
            <w:pPr>
              <w:spacing w:line="240" w:lineRule="auto" w:after="20"/>
            </w:pPr>
            <w:r/>
            <w:r>
              <w:rPr>
                <w:rFonts w:ascii="Times New Roman" w:hAnsi="Times New Roman"/>
                <w:sz w:val="18"/>
              </w:rPr>
              <w:t>trimmed read pairs</w:t>
            </w:r>
          </w:p>
        </w:tc>
        <w:tc>
          <w:tcPr>
            <w:tcW w:type="dxa" w:w="1872"/>
            <w:vAlign w:val="center"/>
          </w:tcPr>
          <w:p>
            <w:pPr>
              <w:spacing w:line="240" w:lineRule="auto" w:after="20"/>
            </w:pPr>
            <w:r/>
            <w:r>
              <w:rPr>
                <w:rFonts w:ascii="Times New Roman" w:hAnsi="Times New Roman"/>
                <w:sz w:val="18"/>
              </w:rPr>
              <w:t>FastQC + MultiQC</w:t>
            </w:r>
          </w:p>
        </w:tc>
        <w:tc>
          <w:tcPr>
            <w:tcW w:type="dxa" w:w="1872"/>
            <w:vAlign w:val="center"/>
          </w:tcPr>
          <w:p>
            <w:pPr>
              <w:spacing w:line="240" w:lineRule="auto" w:after="20"/>
            </w:pPr>
            <w:r/>
            <w:r>
              <w:rPr>
                <w:rFonts w:ascii="Times New Roman" w:hAnsi="Times New Roman"/>
                <w:sz w:val="18"/>
              </w:rPr>
              <w:t>saved SRR-level severity summary; all retained severity deltas shifted negative after trimming</w:t>
            </w:r>
          </w:p>
        </w:tc>
        <w:tc>
          <w:tcPr>
            <w:tcW w:type="dxa" w:w="1872"/>
            <w:vAlign w:val="center"/>
          </w:tcPr>
          <w:p>
            <w:pPr>
              <w:spacing w:line="240" w:lineRule="auto" w:after="20"/>
            </w:pPr>
            <w:r/>
            <w:r>
              <w:rPr>
                <w:rFonts w:ascii="Times New Roman" w:hAnsi="Times New Roman"/>
                <w:sz w:val="18"/>
              </w:rPr>
              <w:t>justifies using the cleaned reads, not the raw reads, for alignment</w:t>
            </w:r>
          </w:p>
        </w:tc>
      </w:tr>
    </w:tbl>
    <w:p/>
    <w:p>
      <w:pPr>
        <w:pStyle w:val="Heading2"/>
        <w:spacing w:line="480" w:lineRule="auto"/>
      </w:pPr>
      <w:r>
        <w:rPr>
          <w:rFonts w:ascii="Times New Roman" w:hAnsi="Times New Roman"/>
          <w:b/>
          <w:sz w:val="24"/>
        </w:rPr>
        <w:t>Data Preparation: Reference Selection and Alignment</w:t>
      </w:r>
    </w:p>
    <w:p>
      <w:pPr>
        <w:spacing w:line="480" w:lineRule="auto" w:after="120"/>
      </w:pPr>
      <w:r>
        <w:rPr>
          <w:rFonts w:ascii="Times New Roman" w:hAnsi="Times New Roman"/>
          <w:sz w:val="24"/>
        </w:rPr>
        <w:t>Trimmed read pairs were aligned to the Mus musculus GRCm39 primary assembly with the matching Ensembl release 115 annotation. The reference pair used in the local workflow consisted of Mus_musculus.GRCm39.dna.primary_assembly.fa and Mus_musculus.GRCm39.115.gtf. A STAR genome index was generated with sjdbOverhang = 150 to match the 151-bp paired-end reads. Alignment was performed with STAR using gzip-aware input handling, coordinate-sorted BAM output, and GeneCounts so that the same run also produced per-sample count tables.</w:t>
      </w:r>
    </w:p>
    <w:p>
      <w:pPr>
        <w:spacing w:line="480" w:lineRule="auto" w:after="120"/>
      </w:pPr>
      <w:r>
        <w:rPr>
          <w:rFonts w:ascii="Times New Roman" w:hAnsi="Times New Roman"/>
          <w:sz w:val="24"/>
        </w:rPr>
        <w:t>This stage linked cleaned reads to downstream modeling.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w:t>
      </w:r>
    </w:p>
    <w:p>
      <w:pPr>
        <w:spacing w:after="80"/>
        <w:jc w:val="center"/>
      </w:pPr>
      <w:r>
        <w:drawing>
          <wp:inline xmlns:a="http://schemas.openxmlformats.org/drawingml/2006/main" xmlns:pic="http://schemas.openxmlformats.org/drawingml/2006/picture">
            <wp:extent cx="5852160" cy="3675493"/>
            <wp:docPr id="4" name="Picture 4"/>
            <wp:cNvGraphicFramePr>
              <a:graphicFrameLocks noChangeAspect="1"/>
            </wp:cNvGraphicFramePr>
            <a:graphic>
              <a:graphicData uri="http://schemas.openxmlformats.org/drawingml/2006/picture">
                <pic:pic>
                  <pic:nvPicPr>
                    <pic:cNvPr id="0" name="data_preparation_stage.png"/>
                    <pic:cNvPicPr/>
                  </pic:nvPicPr>
                  <pic:blipFill>
                    <a:blip r:embed="rId12"/>
                    <a:stretch>
                      <a:fillRect/>
                    </a:stretch>
                  </pic:blipFill>
                  <pic:spPr>
                    <a:xfrm>
                      <a:off x="0" y="0"/>
                      <a:ext cx="5852160" cy="3675493"/>
                    </a:xfrm>
                    <a:prstGeom prst="rect"/>
                  </pic:spPr>
                </pic:pic>
              </a:graphicData>
            </a:graphic>
          </wp:inline>
        </w:drawing>
      </w:r>
    </w:p>
    <w:p>
      <w:pPr>
        <w:spacing w:line="240" w:lineRule="auto" w:after="120"/>
        <w:jc w:val="center"/>
      </w:pPr>
      <w:r>
        <w:rPr>
          <w:rFonts w:ascii="Times New Roman" w:hAnsi="Times New Roman"/>
          <w:b/>
          <w:sz w:val="20"/>
        </w:rPr>
        <w:t xml:space="preserve">Figure 4. </w:t>
      </w:r>
      <w:r>
        <w:rPr>
          <w:rFonts w:ascii="Times New Roman" w:hAnsi="Times New Roman"/>
          <w:sz w:val="20"/>
        </w:rPr>
        <w:t>Data Preparation stage figure built from retained STAR outputs and rebuilt alignment checkpoint metrics.</w:t>
      </w:r>
    </w:p>
    <w:p>
      <w:pPr>
        <w:spacing w:line="240" w:lineRule="auto" w:after="120"/>
        <w:jc w:val="center"/>
      </w:pPr>
      <w:r>
        <w:rPr>
          <w:rFonts w:ascii="Times New Roman" w:hAnsi="Times New Roman"/>
          <w:b/>
          <w:sz w:val="20"/>
        </w:rPr>
        <w:t xml:space="preserve">Table 4. </w:t>
      </w:r>
      <w:r>
        <w:rPr>
          <w:rFonts w:ascii="Times New Roman" w:hAnsi="Times New Roman"/>
          <w:sz w:val="20"/>
        </w:rPr>
        <w:t>Data Preparation stage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560"/>
        <w:gridCol w:w="1560"/>
        <w:gridCol w:w="1560"/>
        <w:gridCol w:w="1560"/>
        <w:gridCol w:w="1560"/>
        <w:gridCol w:w="1560"/>
      </w:tblGrid>
      <w:tr>
        <w:tc>
          <w:tcPr>
            <w:tcW w:type="dxa" w:w="1560"/>
            <w:vAlign w:val="center"/>
            <w:shd w:fill="F2F2F2"/>
          </w:tcPr>
          <w:p>
            <w:pPr>
              <w:spacing w:line="240" w:lineRule="auto" w:after="20"/>
            </w:pPr>
            <w:r/>
            <w:r>
              <w:rPr>
                <w:rFonts w:ascii="Times New Roman" w:hAnsi="Times New Roman"/>
                <w:b/>
                <w:sz w:val="18"/>
              </w:rPr>
              <w:t>Substage</w:t>
            </w:r>
          </w:p>
        </w:tc>
        <w:tc>
          <w:tcPr>
            <w:tcW w:type="dxa" w:w="1560"/>
            <w:vAlign w:val="center"/>
            <w:shd w:fill="F2F2F2"/>
          </w:tcPr>
          <w:p>
            <w:pPr>
              <w:spacing w:line="240" w:lineRule="auto" w:after="20"/>
            </w:pPr>
            <w:r/>
            <w:r>
              <w:rPr>
                <w:rFonts w:ascii="Times New Roman" w:hAnsi="Times New Roman"/>
                <w:b/>
                <w:sz w:val="18"/>
              </w:rPr>
              <w:t>Input</w:t>
            </w:r>
          </w:p>
        </w:tc>
        <w:tc>
          <w:tcPr>
            <w:tcW w:type="dxa" w:w="1560"/>
            <w:vAlign w:val="center"/>
            <w:shd w:fill="F2F2F2"/>
          </w:tcPr>
          <w:p>
            <w:pPr>
              <w:spacing w:line="240" w:lineRule="auto" w:after="20"/>
            </w:pPr>
            <w:r/>
            <w:r>
              <w:rPr>
                <w:rFonts w:ascii="Times New Roman" w:hAnsi="Times New Roman"/>
                <w:b/>
                <w:sz w:val="18"/>
              </w:rPr>
              <w:t>Tool</w:t>
            </w:r>
          </w:p>
        </w:tc>
        <w:tc>
          <w:tcPr>
            <w:tcW w:type="dxa" w:w="1560"/>
            <w:vAlign w:val="center"/>
            <w:shd w:fill="F2F2F2"/>
          </w:tcPr>
          <w:p>
            <w:pPr>
              <w:spacing w:line="240" w:lineRule="auto" w:after="20"/>
            </w:pPr>
            <w:r/>
            <w:r>
              <w:rPr>
                <w:rFonts w:ascii="Times New Roman" w:hAnsi="Times New Roman"/>
                <w:b/>
                <w:sz w:val="18"/>
              </w:rPr>
              <w:t>Checkpoint artifact / evidence</w:t>
            </w:r>
          </w:p>
        </w:tc>
        <w:tc>
          <w:tcPr>
            <w:tcW w:type="dxa" w:w="1560"/>
            <w:vAlign w:val="center"/>
            <w:shd w:fill="F2F2F2"/>
          </w:tcPr>
          <w:p>
            <w:pPr>
              <w:spacing w:line="240" w:lineRule="auto" w:after="20"/>
            </w:pPr>
            <w:r/>
            <w:r>
              <w:rPr>
                <w:rFonts w:ascii="Times New Roman" w:hAnsi="Times New Roman"/>
                <w:b/>
                <w:sz w:val="18"/>
              </w:rPr>
              <w:t>Why it mattered</w:t>
            </w:r>
          </w:p>
        </w:tc>
        <w:tc>
          <w:tcPr>
            <w:tcW w:type="dxa" w:w="1560"/>
            <w:vAlign w:val="center"/>
            <w:shd w:fill="F2F2F2"/>
          </w:tcPr>
          <w:p>
            <w:pPr>
              <w:spacing w:line="240" w:lineRule="auto" w:after="20"/>
            </w:pPr>
            <w:r/>
            <w:r>
              <w:rPr>
                <w:rFonts w:ascii="Times New Roman" w:hAnsi="Times New Roman"/>
                <w:b/>
                <w:sz w:val="18"/>
              </w:rPr>
            </w:r>
          </w:p>
        </w:tc>
      </w:tr>
      <w:tr>
        <w:tc>
          <w:tcPr>
            <w:tcW w:type="dxa" w:w="1560"/>
            <w:vAlign w:val="center"/>
            <w:shd w:fill="EEEAF7"/>
          </w:tcPr>
          <w:p>
            <w:pPr>
              <w:spacing w:line="240" w:lineRule="auto" w:after="20"/>
            </w:pPr>
            <w:r/>
            <w:r>
              <w:rPr>
                <w:rFonts w:ascii="Times New Roman" w:hAnsi="Times New Roman"/>
                <w:sz w:val="18"/>
              </w:rPr>
              <w:t>Reference choice</w:t>
            </w:r>
          </w:p>
        </w:tc>
        <w:tc>
          <w:tcPr>
            <w:tcW w:type="dxa" w:w="1560"/>
            <w:vAlign w:val="center"/>
          </w:tcPr>
          <w:p>
            <w:pPr>
              <w:spacing w:line="240" w:lineRule="auto" w:after="20"/>
            </w:pPr>
            <w:r/>
            <w:r>
              <w:rPr>
                <w:rFonts w:ascii="Times New Roman" w:hAnsi="Times New Roman"/>
                <w:sz w:val="18"/>
              </w:rPr>
              <w:t>mouse genome + annotation</w:t>
            </w:r>
          </w:p>
        </w:tc>
        <w:tc>
          <w:tcPr>
            <w:tcW w:type="dxa" w:w="1560"/>
            <w:vAlign w:val="center"/>
          </w:tcPr>
          <w:p>
            <w:pPr>
              <w:spacing w:line="240" w:lineRule="auto" w:after="20"/>
            </w:pPr>
            <w:r/>
            <w:r>
              <w:rPr>
                <w:rFonts w:ascii="Times New Roman" w:hAnsi="Times New Roman"/>
                <w:sz w:val="18"/>
              </w:rPr>
              <w:t>Ensembl reference selection</w:t>
            </w:r>
          </w:p>
        </w:tc>
        <w:tc>
          <w:tcPr>
            <w:tcW w:type="dxa" w:w="1560"/>
            <w:vAlign w:val="center"/>
          </w:tcPr>
          <w:p>
            <w:pPr>
              <w:spacing w:line="240" w:lineRule="auto" w:after="20"/>
            </w:pPr>
            <w:r/>
            <w:r>
              <w:rPr>
                <w:rFonts w:ascii="Times New Roman" w:hAnsi="Times New Roman"/>
                <w:sz w:val="18"/>
              </w:rPr>
              <w:t>reference FASTA/GTF pair for GRCm39 primary assembly + Ensembl v115 annotation</w:t>
            </w:r>
          </w:p>
        </w:tc>
        <w:tc>
          <w:tcPr>
            <w:tcW w:type="dxa" w:w="1560"/>
            <w:vAlign w:val="center"/>
          </w:tcPr>
          <w:p>
            <w:pPr>
              <w:spacing w:line="240" w:lineRule="auto" w:after="20"/>
            </w:pPr>
            <w:r/>
            <w:r>
              <w:rPr>
                <w:rFonts w:ascii="Times New Roman" w:hAnsi="Times New Roman"/>
                <w:sz w:val="18"/>
              </w:rPr>
              <w:t>locks the coordinate system used by STAR and downstream counts</w:t>
            </w:r>
          </w:p>
        </w:tc>
        <w:tc>
          <w:tcPr>
            <w:tcW w:type="dxa" w:w="1560"/>
            <w:vAlign w:val="center"/>
          </w:tcPr>
          <w:p>
            <w:pPr>
              <w:spacing w:line="240" w:lineRule="auto" w:after="20"/>
            </w:pPr>
            <w:r/>
            <w:r>
              <w:rPr>
                <w:rFonts w:ascii="Times New Roman" w:hAnsi="Times New Roman"/>
                <w:sz w:val="18"/>
              </w:rPr>
            </w:r>
          </w:p>
        </w:tc>
      </w:tr>
      <w:tr>
        <w:tc>
          <w:tcPr>
            <w:tcW w:type="dxa" w:w="1560"/>
            <w:vAlign w:val="center"/>
            <w:shd w:fill="EEEAF7"/>
          </w:tcPr>
          <w:p>
            <w:pPr>
              <w:spacing w:line="240" w:lineRule="auto" w:after="20"/>
            </w:pPr>
            <w:r/>
            <w:r>
              <w:rPr>
                <w:rFonts w:ascii="Times New Roman" w:hAnsi="Times New Roman"/>
                <w:sz w:val="18"/>
              </w:rPr>
              <w:t>stageprepSTAR index \</w:t>
            </w:r>
          </w:p>
        </w:tc>
        <w:tc>
          <w:tcPr>
            <w:tcW w:type="dxa" w:w="1560"/>
            <w:vAlign w:val="center"/>
          </w:tcPr>
          <w:p>
            <w:pPr>
              <w:spacing w:line="240" w:lineRule="auto" w:after="20"/>
            </w:pPr>
            <w:r/>
            <w:r>
              <w:rPr>
                <w:rFonts w:ascii="Times New Roman" w:hAnsi="Times New Roman"/>
                <w:sz w:val="18"/>
              </w:rPr>
              <w:t>run</w:t>
            </w:r>
          </w:p>
        </w:tc>
        <w:tc>
          <w:tcPr>
            <w:tcW w:type="dxa" w:w="1560"/>
            <w:vAlign w:val="center"/>
          </w:tcPr>
          <w:p>
            <w:pPr>
              <w:spacing w:line="240" w:lineRule="auto" w:after="20"/>
            </w:pPr>
            <w:r/>
            <w:r>
              <w:rPr>
                <w:rFonts w:ascii="Times New Roman" w:hAnsi="Times New Roman"/>
                <w:sz w:val="18"/>
              </w:rPr>
              <w:t>trimmed read pairs + reference</w:t>
            </w:r>
          </w:p>
        </w:tc>
        <w:tc>
          <w:tcPr>
            <w:tcW w:type="dxa" w:w="1560"/>
            <w:vAlign w:val="center"/>
          </w:tcPr>
          <w:p>
            <w:pPr>
              <w:spacing w:line="240" w:lineRule="auto" w:after="20"/>
            </w:pPr>
            <w:r/>
            <w:r>
              <w:rPr>
                <w:rFonts w:ascii="Times New Roman" w:hAnsi="Times New Roman"/>
                <w:sz w:val="18"/>
              </w:rPr>
              <w:t>STAR</w:t>
            </w:r>
          </w:p>
        </w:tc>
        <w:tc>
          <w:tcPr>
            <w:tcW w:type="dxa" w:w="1560"/>
            <w:vAlign w:val="center"/>
          </w:tcPr>
          <w:p>
            <w:pPr>
              <w:spacing w:line="240" w:lineRule="auto" w:after="20"/>
            </w:pPr>
            <w:r/>
            <w:r>
              <w:rPr>
                <w:rFonts w:ascii="Times New Roman" w:hAnsi="Times New Roman"/>
                <w:sz w:val="18"/>
              </w:rPr>
              <w:t>sorted BAM, Log.final.out, and ReadsPerGene.out.tab; sjdbOverhang = 150 and paired-end alignment/counting in one run</w:t>
            </w:r>
          </w:p>
        </w:tc>
        <w:tc>
          <w:tcPr>
            <w:tcW w:type="dxa" w:w="1560"/>
            <w:vAlign w:val="center"/>
          </w:tcPr>
          <w:p>
            <w:pPr>
              <w:spacing w:line="240" w:lineRule="auto" w:after="20"/>
            </w:pPr>
            <w:r/>
            <w:r>
              <w:rPr>
                <w:rFonts w:ascii="Times New Roman" w:hAnsi="Times New Roman"/>
                <w:sz w:val="18"/>
              </w:rPr>
              <w:t>produces the alignment checkpoint and the count-ready artifacts in one run</w:t>
            </w:r>
          </w:p>
        </w:tc>
      </w:tr>
      <w:tr>
        <w:tc>
          <w:tcPr>
            <w:tcW w:type="dxa" w:w="1560"/>
            <w:vAlign w:val="center"/>
            <w:shd w:fill="EEEAF7"/>
          </w:tcPr>
          <w:p>
            <w:pPr>
              <w:spacing w:line="240" w:lineRule="auto" w:after="20"/>
            </w:pPr>
            <w:r/>
            <w:r>
              <w:rPr>
                <w:rFonts w:ascii="Times New Roman" w:hAnsi="Times New Roman"/>
                <w:sz w:val="18"/>
              </w:rPr>
              <w:t>Alignment checkpoint</w:t>
            </w:r>
          </w:p>
        </w:tc>
        <w:tc>
          <w:tcPr>
            <w:tcW w:type="dxa" w:w="1560"/>
            <w:vAlign w:val="center"/>
          </w:tcPr>
          <w:p>
            <w:pPr>
              <w:spacing w:line="240" w:lineRule="auto" w:after="20"/>
            </w:pPr>
            <w:r/>
            <w:r>
              <w:rPr>
                <w:rFonts w:ascii="Times New Roman" w:hAnsi="Times New Roman"/>
                <w:sz w:val="18"/>
              </w:rPr>
              <w:t>saved STAR summaries</w:t>
            </w:r>
          </w:p>
        </w:tc>
        <w:tc>
          <w:tcPr>
            <w:tcW w:type="dxa" w:w="1560"/>
            <w:vAlign w:val="center"/>
          </w:tcPr>
          <w:p>
            <w:pPr>
              <w:spacing w:line="240" w:lineRule="auto" w:after="20"/>
            </w:pPr>
            <w:r/>
            <w:r>
              <w:rPr>
                <w:rFonts w:ascii="Times New Roman" w:hAnsi="Times New Roman"/>
                <w:sz w:val="18"/>
              </w:rPr>
              <w:t>local alignment review</w:t>
            </w:r>
          </w:p>
        </w:tc>
        <w:tc>
          <w:tcPr>
            <w:tcW w:type="dxa" w:w="1560"/>
            <w:vAlign w:val="center"/>
          </w:tcPr>
          <w:p>
            <w:pPr>
              <w:spacing w:line="240" w:lineRule="auto" w:after="20"/>
            </w:pPr>
            <w:r/>
            <w:r>
              <w:rPr>
                <w:rFonts w:ascii="Times New Roman" w:hAnsi="Times New Roman"/>
                <w:sz w:val="18"/>
              </w:rPr>
              <w:t>retained unique-mapping plot plus the STAR median summary table; unique 93.23%, multi 5.10%, noFeature 3.82%, ambiguous 1.77%</w:t>
            </w:r>
          </w:p>
        </w:tc>
        <w:tc>
          <w:tcPr>
            <w:tcW w:type="dxa" w:w="1560"/>
            <w:vAlign w:val="center"/>
          </w:tcPr>
          <w:p>
            <w:pPr>
              <w:spacing w:line="240" w:lineRule="auto" w:after="20"/>
            </w:pPr>
            <w:r/>
            <w:r>
              <w:rPr>
                <w:rFonts w:ascii="Times New Roman" w:hAnsi="Times New Roman"/>
                <w:sz w:val="18"/>
              </w:rPr>
              <w:t>confirms the cleaned reads mapped well enough to move into DESeq2</w:t>
            </w:r>
          </w:p>
        </w:tc>
        <w:tc>
          <w:tcPr>
            <w:tcW w:type="dxa" w:w="1560"/>
            <w:vAlign w:val="center"/>
          </w:tcPr>
          <w:p>
            <w:pPr>
              <w:spacing w:line="240" w:lineRule="auto" w:after="20"/>
            </w:pPr>
            <w:r/>
            <w:r>
              <w:rPr>
                <w:rFonts w:ascii="Times New Roman" w:hAnsi="Times New Roman"/>
                <w:sz w:val="18"/>
              </w:rPr>
            </w:r>
          </w:p>
        </w:tc>
      </w:tr>
      <w:tr>
        <w:tc>
          <w:tcPr>
            <w:tcW w:type="dxa" w:w="1560"/>
            <w:vAlign w:val="center"/>
            <w:shd w:fill="EEEAF7"/>
          </w:tcPr>
          <w:p>
            <w:pPr>
              <w:spacing w:line="240" w:lineRule="auto" w:after="20"/>
            </w:pPr>
            <w:r/>
            <w:r>
              <w:rPr>
                <w:rFonts w:ascii="Times New Roman" w:hAnsi="Times New Roman"/>
                <w:sz w:val="18"/>
              </w:rPr>
              <w:t>Count handoff</w:t>
            </w:r>
          </w:p>
        </w:tc>
        <w:tc>
          <w:tcPr>
            <w:tcW w:type="dxa" w:w="1560"/>
            <w:vAlign w:val="center"/>
          </w:tcPr>
          <w:p>
            <w:pPr>
              <w:spacing w:line="240" w:lineRule="auto" w:after="20"/>
            </w:pPr>
            <w:r/>
            <w:r>
              <w:rPr>
                <w:rFonts w:ascii="Times New Roman" w:hAnsi="Times New Roman"/>
                <w:sz w:val="18"/>
              </w:rPr>
              <w:t>per-sample count outputs</w:t>
            </w:r>
          </w:p>
        </w:tc>
        <w:tc>
          <w:tcPr>
            <w:tcW w:type="dxa" w:w="1560"/>
            <w:vAlign w:val="center"/>
          </w:tcPr>
          <w:p>
            <w:pPr>
              <w:spacing w:line="240" w:lineRule="auto" w:after="20"/>
            </w:pPr>
            <w:r/>
            <w:r>
              <w:rPr>
                <w:rFonts w:ascii="Times New Roman" w:hAnsi="Times New Roman"/>
                <w:sz w:val="18"/>
              </w:rPr>
              <w:t>local merge scripts / notebooks</w:t>
            </w:r>
          </w:p>
        </w:tc>
        <w:tc>
          <w:tcPr>
            <w:tcW w:type="dxa" w:w="1560"/>
            <w:vAlign w:val="center"/>
          </w:tcPr>
          <w:p>
            <w:pPr>
              <w:spacing w:line="240" w:lineRule="auto" w:after="20"/>
            </w:pPr>
            <w:r/>
            <w:r>
              <w:rPr>
                <w:rFonts w:ascii="Times New Roman" w:hAnsi="Times New Roman"/>
                <w:sz w:val="18"/>
              </w:rPr>
              <w:t>family-level count matrix for family_drg_novaseqx; 20 samples retained in the final family matrix</w:t>
            </w:r>
          </w:p>
        </w:tc>
        <w:tc>
          <w:tcPr>
            <w:tcW w:type="dxa" w:w="1560"/>
            <w:vAlign w:val="center"/>
          </w:tcPr>
          <w:p>
            <w:pPr>
              <w:spacing w:line="240" w:lineRule="auto" w:after="20"/>
            </w:pPr>
            <w:r/>
            <w:r>
              <w:rPr>
                <w:rFonts w:ascii="Times New Roman" w:hAnsi="Times New Roman"/>
                <w:sz w:val="18"/>
              </w:rPr>
              <w:t>converts per-sample STAR outputs into the DE-ready family matrix</w:t>
            </w:r>
          </w:p>
        </w:tc>
        <w:tc>
          <w:tcPr>
            <w:tcW w:type="dxa" w:w="1560"/>
            <w:vAlign w:val="center"/>
          </w:tcPr>
          <w:p>
            <w:pPr>
              <w:spacing w:line="240" w:lineRule="auto" w:after="20"/>
            </w:pPr>
            <w:r/>
            <w:r>
              <w:rPr>
                <w:rFonts w:ascii="Times New Roman" w:hAnsi="Times New Roman"/>
                <w:sz w:val="18"/>
              </w:rPr>
            </w:r>
          </w:p>
        </w:tc>
      </w:tr>
    </w:tbl>
    <w:p/>
    <w:p>
      <w:pPr>
        <w:pStyle w:val="Heading2"/>
        <w:spacing w:line="480" w:lineRule="auto"/>
      </w:pPr>
      <w:r>
        <w:rPr>
          <w:rFonts w:ascii="Times New Roman" w:hAnsi="Times New Roman"/>
          <w:b/>
          <w:sz w:val="24"/>
        </w:rPr>
        <w:t>Data Analysis and Interpretation: Differential Expression and Functional Analysis</w:t>
      </w:r>
    </w:p>
    <w:p>
      <w:pPr>
        <w:spacing w:line="480" w:lineRule="auto" w:after="120"/>
      </w:pPr>
      <w:r>
        <w:rPr>
          <w:rFonts w:ascii="Times New Roman" w:hAnsi="Times New Roman"/>
          <w:sz w:val="24"/>
        </w:rPr>
        <w:t>The merged family count matrix was analyzed with DESeq2 using the explicit side-by-genotype design carried forward from the sample manifest. Before modeling, low-support genes were filtered, reducing the tested set from 78,334 genes to 21,481 while retaining all 20 DRG samples. Five contrasts were then evaluated: ipsi_vs_contra_in_ff, ipsi_vs_contra_in_cre, geno_in_contra, geno_in_ipsi, and interaction. PCA, MA plots, volcano plots, and heatmaps were generated at this stage, but those figures are reserved for the Results section.</w:t>
      </w:r>
    </w:p>
    <w:p>
      <w:pPr>
        <w:spacing w:line="480" w:lineRule="auto" w:after="120"/>
      </w:pPr>
      <w:r>
        <w:rPr>
          <w:rFonts w:ascii="Times New Roman" w:hAnsi="Times New Roman"/>
          <w:sz w:val="24"/>
        </w:rPr>
        <w:t>To avoid reducing very large DE outputs to unstructured gene lists, the workflow applied a bend-point rule to the ordered adjusted-p-value curve for each contrast. These bend-point-derived follow-up sets were therefore reported alongside the padj &lt; 0.05 results rather than treated as interchangeable with them. For the two primary side-specific contrasts, this step retained 709 and 870 genes, respectively. The resulting follow-up sets were then submitted to g:Profiler using GO Biological Process, KEGG, and Reactome layers. In this Methods framing, the enrichment outputs are treated as downstream products of the analysis workflow rather than as final biological claims.</w:t>
      </w:r>
    </w:p>
    <w:p>
      <w:pPr>
        <w:spacing w:after="80"/>
        <w:jc w:val="center"/>
      </w:pPr>
      <w:r>
        <w:drawing>
          <wp:inline xmlns:a="http://schemas.openxmlformats.org/drawingml/2006/main" xmlns:pic="http://schemas.openxmlformats.org/drawingml/2006/picture">
            <wp:extent cx="5852160" cy="4443488"/>
            <wp:docPr id="5" name="Picture 5"/>
            <wp:cNvGraphicFramePr>
              <a:graphicFrameLocks noChangeAspect="1"/>
            </wp:cNvGraphicFramePr>
            <a:graphic>
              <a:graphicData uri="http://schemas.openxmlformats.org/drawingml/2006/picture">
                <pic:pic>
                  <pic:nvPicPr>
                    <pic:cNvPr id="0" name="data_mining_stage.png"/>
                    <pic:cNvPicPr/>
                  </pic:nvPicPr>
                  <pic:blipFill>
                    <a:blip r:embed="rId13"/>
                    <a:stretch>
                      <a:fillRect/>
                    </a:stretch>
                  </pic:blipFill>
                  <pic:spPr>
                    <a:xfrm>
                      <a:off x="0" y="0"/>
                      <a:ext cx="5852160" cy="4443488"/>
                    </a:xfrm>
                    <a:prstGeom prst="rect"/>
                  </pic:spPr>
                </pic:pic>
              </a:graphicData>
            </a:graphic>
          </wp:inline>
        </w:drawing>
      </w:r>
    </w:p>
    <w:p>
      <w:pPr>
        <w:spacing w:line="240" w:lineRule="auto" w:after="120"/>
        <w:jc w:val="center"/>
      </w:pPr>
      <w:r>
        <w:rPr>
          <w:rFonts w:ascii="Times New Roman" w:hAnsi="Times New Roman"/>
          <w:b/>
          <w:sz w:val="20"/>
        </w:rPr>
        <w:t xml:space="preserve">Figure 5. </w:t>
      </w:r>
      <w:r>
        <w:rPr>
          <w:rFonts w:ascii="Times New Roman" w:hAnsi="Times New Roman"/>
          <w:sz w:val="20"/>
        </w:rPr>
        <w:t>Rebuilt Data Analysis and Interpretation stage figure derived from saved DESeq2</w:t>
      </w:r>
    </w:p>
    <w:p>
      <w:pPr>
        <w:spacing w:after="80"/>
        <w:jc w:val="center"/>
      </w:pPr>
      <w:r>
        <w:drawing>
          <wp:inline xmlns:a="http://schemas.openxmlformats.org/drawingml/2006/main" xmlns:pic="http://schemas.openxmlformats.org/drawingml/2006/picture">
            <wp:extent cx="5852160" cy="3454387"/>
            <wp:docPr id="6" name="Picture 6"/>
            <wp:cNvGraphicFramePr>
              <a:graphicFrameLocks noChangeAspect="1"/>
            </wp:cNvGraphicFramePr>
            <a:graphic>
              <a:graphicData uri="http://schemas.openxmlformats.org/drawingml/2006/picture">
                <pic:pic>
                  <pic:nvPicPr>
                    <pic:cNvPr id="0" name="data_mining_selection_stage.png"/>
                    <pic:cNvPicPr/>
                  </pic:nvPicPr>
                  <pic:blipFill>
                    <a:blip r:embed="rId14"/>
                    <a:stretch>
                      <a:fillRect/>
                    </a:stretch>
                  </pic:blipFill>
                  <pic:spPr>
                    <a:xfrm>
                      <a:off x="0" y="0"/>
                      <a:ext cx="5852160" cy="3454387"/>
                    </a:xfrm>
                    <a:prstGeom prst="rect"/>
                  </pic:spPr>
                </pic:pic>
              </a:graphicData>
            </a:graphic>
          </wp:inline>
        </w:drawing>
      </w:r>
    </w:p>
    <w:p>
      <w:pPr>
        <w:spacing w:line="240" w:lineRule="auto" w:after="120"/>
        <w:jc w:val="center"/>
      </w:pPr>
      <w:r>
        <w:rPr>
          <w:rFonts w:ascii="Times New Roman" w:hAnsi="Times New Roman"/>
          <w:b/>
          <w:sz w:val="20"/>
        </w:rPr>
        <w:t xml:space="preserve">Figure 6. </w:t>
      </w:r>
      <w:r>
        <w:rPr>
          <w:rFonts w:ascii="Times New Roman" w:hAnsi="Times New Roman"/>
          <w:sz w:val="20"/>
        </w:rPr>
        <w:t>Retained bend-point checkpoint summary for the two primary side-specific branches (cards). The ordered p-value and cumulative-count plots are shown for the ipsi_vs_contra_in_ff</w:t>
      </w:r>
    </w:p>
    <w:p>
      <w:pPr>
        <w:spacing w:line="240" w:lineRule="auto" w:after="120"/>
        <w:jc w:val="center"/>
      </w:pPr>
      <w:r>
        <w:rPr>
          <w:rFonts w:ascii="Times New Roman" w:hAnsi="Times New Roman"/>
          <w:b/>
          <w:sz w:val="20"/>
        </w:rPr>
        <w:t xml:space="preserve">Table 5. </w:t>
      </w:r>
      <w:r>
        <w:rPr>
          <w:rFonts w:ascii="Times New Roman" w:hAnsi="Times New Roman"/>
          <w:sz w:val="20"/>
        </w:rPr>
        <w:t>Data Analysis and Interpretation workflow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Substage</w:t>
            </w:r>
          </w:p>
        </w:tc>
        <w:tc>
          <w:tcPr>
            <w:tcW w:type="dxa" w:w="1872"/>
            <w:vAlign w:val="center"/>
            <w:shd w:fill="F2F2F2"/>
          </w:tcPr>
          <w:p>
            <w:pPr>
              <w:spacing w:line="240" w:lineRule="auto" w:after="20"/>
            </w:pPr>
            <w:r/>
            <w:r>
              <w:rPr>
                <w:rFonts w:ascii="Times New Roman" w:hAnsi="Times New Roman"/>
                <w:b/>
                <w:sz w:val="18"/>
              </w:rPr>
              <w:t>Input</w:t>
            </w:r>
          </w:p>
        </w:tc>
        <w:tc>
          <w:tcPr>
            <w:tcW w:type="dxa" w:w="1872"/>
            <w:vAlign w:val="center"/>
            <w:shd w:fill="F2F2F2"/>
          </w:tcPr>
          <w:p>
            <w:pPr>
              <w:spacing w:line="240" w:lineRule="auto" w:after="20"/>
            </w:pPr>
            <w:r/>
            <w:r>
              <w:rPr>
                <w:rFonts w:ascii="Times New Roman" w:hAnsi="Times New Roman"/>
                <w:b/>
                <w:sz w:val="18"/>
              </w:rPr>
              <w:t>Tool</w:t>
            </w:r>
          </w:p>
        </w:tc>
        <w:tc>
          <w:tcPr>
            <w:tcW w:type="dxa" w:w="1872"/>
            <w:vAlign w:val="center"/>
            <w:shd w:fill="F2F2F2"/>
          </w:tcPr>
          <w:p>
            <w:pPr>
              <w:spacing w:line="240" w:lineRule="auto" w:after="20"/>
            </w:pPr>
            <w:r/>
            <w:r>
              <w:rPr>
                <w:rFonts w:ascii="Times New Roman" w:hAnsi="Times New Roman"/>
                <w:b/>
                <w:sz w:val="18"/>
              </w:rPr>
              <w:t>Checkpoint artifact / evidence</w:t>
            </w:r>
          </w:p>
        </w:tc>
        <w:tc>
          <w:tcPr>
            <w:tcW w:type="dxa" w:w="1872"/>
            <w:vAlign w:val="center"/>
            <w:shd w:fill="F2F2F2"/>
          </w:tcPr>
          <w:p>
            <w:pPr>
              <w:spacing w:line="240" w:lineRule="auto" w:after="20"/>
            </w:pPr>
            <w:r/>
            <w:r>
              <w:rPr>
                <w:rFonts w:ascii="Times New Roman" w:hAnsi="Times New Roman"/>
                <w:b/>
                <w:sz w:val="18"/>
              </w:rPr>
              <w:t>Why it mattered</w:t>
            </w:r>
          </w:p>
        </w:tc>
      </w:tr>
      <w:tr>
        <w:tc>
          <w:tcPr>
            <w:tcW w:type="dxa" w:w="1872"/>
            <w:vAlign w:val="center"/>
            <w:shd w:fill="EEEAF7"/>
          </w:tcPr>
          <w:p>
            <w:pPr>
              <w:spacing w:line="240" w:lineRule="auto" w:after="20"/>
            </w:pPr>
            <w:r/>
            <w:r>
              <w:rPr>
                <w:rFonts w:ascii="Times New Roman" w:hAnsi="Times New Roman"/>
                <w:sz w:val="18"/>
              </w:rPr>
              <w:t>Model setup</w:t>
            </w:r>
          </w:p>
        </w:tc>
        <w:tc>
          <w:tcPr>
            <w:tcW w:type="dxa" w:w="1872"/>
            <w:vAlign w:val="center"/>
          </w:tcPr>
          <w:p>
            <w:pPr>
              <w:spacing w:line="240" w:lineRule="auto" w:after="20"/>
            </w:pPr>
            <w:r/>
            <w:r>
              <w:rPr>
                <w:rFonts w:ascii="Times New Roman" w:hAnsi="Times New Roman"/>
                <w:sz w:val="18"/>
              </w:rPr>
              <w:t>family count matrix + design table</w:t>
            </w:r>
          </w:p>
        </w:tc>
        <w:tc>
          <w:tcPr>
            <w:tcW w:type="dxa" w:w="1872"/>
            <w:vAlign w:val="center"/>
          </w:tcPr>
          <w:p>
            <w:pPr>
              <w:spacing w:line="240" w:lineRule="auto" w:after="20"/>
            </w:pPr>
            <w:r/>
            <w:r>
              <w:rPr>
                <w:rFonts w:ascii="Times New Roman" w:hAnsi="Times New Roman"/>
                <w:sz w:val="18"/>
              </w:rPr>
              <w:t>DESeq2</w:t>
            </w:r>
          </w:p>
        </w:tc>
        <w:tc>
          <w:tcPr>
            <w:tcW w:type="dxa" w:w="1872"/>
            <w:vAlign w:val="center"/>
          </w:tcPr>
          <w:p>
            <w:pPr>
              <w:spacing w:line="240" w:lineRule="auto" w:after="20"/>
            </w:pPr>
            <w:r/>
            <w:r>
              <w:rPr>
                <w:rFonts w:ascii="Times New Roman" w:hAnsi="Times New Roman"/>
                <w:sz w:val="18"/>
              </w:rPr>
              <w:t>normalized counts, VST matrix, and contrast-level result tables; 20 samples retained and 78,334 -&gt; 21,481 genes after filtering</w:t>
            </w:r>
          </w:p>
        </w:tc>
        <w:tc>
          <w:tcPr>
            <w:tcW w:type="dxa" w:w="1872"/>
            <w:vAlign w:val="center"/>
          </w:tcPr>
          <w:p>
            <w:pPr>
              <w:spacing w:line="240" w:lineRule="auto" w:after="20"/>
            </w:pPr>
            <w:r/>
            <w:r>
              <w:rPr>
                <w:rFonts w:ascii="Times New Roman" w:hAnsi="Times New Roman"/>
                <w:sz w:val="18"/>
              </w:rPr>
              <w:t>defines the inferential base for every contrast and downstream plot</w:t>
            </w:r>
          </w:p>
        </w:tc>
      </w:tr>
      <w:tr>
        <w:tc>
          <w:tcPr>
            <w:tcW w:type="dxa" w:w="1872"/>
            <w:vAlign w:val="center"/>
            <w:shd w:fill="EEEAF7"/>
          </w:tcPr>
          <w:p>
            <w:pPr>
              <w:spacing w:line="240" w:lineRule="auto" w:after="20"/>
            </w:pPr>
            <w:r/>
            <w:r>
              <w:rPr>
                <w:rFonts w:ascii="Times New Roman" w:hAnsi="Times New Roman"/>
                <w:sz w:val="18"/>
              </w:rPr>
              <w:t>Contrast production</w:t>
            </w:r>
          </w:p>
        </w:tc>
        <w:tc>
          <w:tcPr>
            <w:tcW w:type="dxa" w:w="1872"/>
            <w:vAlign w:val="center"/>
          </w:tcPr>
          <w:p>
            <w:pPr>
              <w:spacing w:line="240" w:lineRule="auto" w:after="20"/>
            </w:pPr>
            <w:r/>
            <w:r>
              <w:rPr>
                <w:rFonts w:ascii="Times New Roman" w:hAnsi="Times New Roman"/>
                <w:sz w:val="18"/>
              </w:rPr>
              <w:t>filtered model outputs</w:t>
            </w:r>
          </w:p>
        </w:tc>
        <w:tc>
          <w:tcPr>
            <w:tcW w:type="dxa" w:w="1872"/>
            <w:vAlign w:val="center"/>
          </w:tcPr>
          <w:p>
            <w:pPr>
              <w:spacing w:line="240" w:lineRule="auto" w:after="20"/>
            </w:pPr>
            <w:r/>
            <w:r>
              <w:rPr>
                <w:rFonts w:ascii="Times New Roman" w:hAnsi="Times New Roman"/>
                <w:sz w:val="18"/>
              </w:rPr>
              <w:t>DESeq2 contrast manifest</w:t>
            </w:r>
          </w:p>
        </w:tc>
        <w:tc>
          <w:tcPr>
            <w:tcW w:type="dxa" w:w="1872"/>
            <w:vAlign w:val="center"/>
          </w:tcPr>
          <w:p>
            <w:pPr>
              <w:spacing w:line="240" w:lineRule="auto" w:after="20"/>
            </w:pPr>
            <w:r/>
            <w:r>
              <w:rPr>
                <w:rFonts w:ascii="Times New Roman" w:hAnsi="Times New Roman"/>
                <w:sz w:val="18"/>
              </w:rPr>
              <w:t>five saved contrast branches; two primary side-specific and three supporting genotype / interaction branches</w:t>
            </w:r>
          </w:p>
        </w:tc>
        <w:tc>
          <w:tcPr>
            <w:tcW w:type="dxa" w:w="1872"/>
            <w:vAlign w:val="center"/>
          </w:tcPr>
          <w:p>
            <w:pPr>
              <w:spacing w:line="240" w:lineRule="auto" w:after="20"/>
            </w:pPr>
            <w:r/>
            <w:r>
              <w:rPr>
                <w:rFonts w:ascii="Times New Roman" w:hAnsi="Times New Roman"/>
                <w:sz w:val="18"/>
              </w:rPr>
              <w:t>keeps the main and supporting stories explicit before list narrowing</w:t>
            </w:r>
          </w:p>
        </w:tc>
      </w:tr>
      <w:tr>
        <w:tc>
          <w:tcPr>
            <w:tcW w:type="dxa" w:w="1872"/>
            <w:vAlign w:val="center"/>
            <w:shd w:fill="EEEAF7"/>
          </w:tcPr>
          <w:p>
            <w:pPr>
              <w:spacing w:line="240" w:lineRule="auto" w:after="20"/>
            </w:pPr>
            <w:r/>
            <w:r>
              <w:rPr>
                <w:rFonts w:ascii="Times New Roman" w:hAnsi="Times New Roman"/>
                <w:sz w:val="18"/>
              </w:rPr>
              <w:t>Bend-point selection</w:t>
            </w:r>
          </w:p>
        </w:tc>
        <w:tc>
          <w:tcPr>
            <w:tcW w:type="dxa" w:w="1872"/>
            <w:vAlign w:val="center"/>
          </w:tcPr>
          <w:p>
            <w:pPr>
              <w:spacing w:line="240" w:lineRule="auto" w:after="20"/>
            </w:pPr>
            <w:r/>
            <w:r>
              <w:rPr>
                <w:rFonts w:ascii="Times New Roman" w:hAnsi="Times New Roman"/>
                <w:sz w:val="18"/>
              </w:rPr>
              <w:t>ordered adjusted-p tables</w:t>
            </w:r>
          </w:p>
        </w:tc>
        <w:tc>
          <w:tcPr>
            <w:tcW w:type="dxa" w:w="1872"/>
            <w:vAlign w:val="center"/>
          </w:tcPr>
          <w:p>
            <w:pPr>
              <w:spacing w:line="240" w:lineRule="auto" w:after="20"/>
            </w:pPr>
            <w:r/>
            <w:r>
              <w:rPr>
                <w:rFonts w:ascii="Times New Roman" w:hAnsi="Times New Roman"/>
                <w:sz w:val="18"/>
              </w:rPr>
              <w:t>local bend-point scripts</w:t>
            </w:r>
          </w:p>
        </w:tc>
        <w:tc>
          <w:tcPr>
            <w:tcW w:type="dxa" w:w="1872"/>
            <w:vAlign w:val="center"/>
          </w:tcPr>
          <w:p>
            <w:pPr>
              <w:spacing w:line="240" w:lineRule="auto" w:after="20"/>
            </w:pPr>
            <w:r/>
            <w:r>
              <w:rPr>
                <w:rFonts w:ascii="Times New Roman" w:hAnsi="Times New Roman"/>
                <w:sz w:val="18"/>
              </w:rPr>
              <w:t>analysis-summary and per-contrast bend-point summary tables; primary side-specific follow-up sets of 709 genes in ff and 870 genes in cre</w:t>
            </w:r>
          </w:p>
        </w:tc>
        <w:tc>
          <w:tcPr>
            <w:tcW w:type="dxa" w:w="1872"/>
            <w:vAlign w:val="center"/>
          </w:tcPr>
          <w:p>
            <w:pPr>
              <w:spacing w:line="240" w:lineRule="auto" w:after="20"/>
            </w:pPr>
            <w:r/>
            <w:r>
              <w:rPr>
                <w:rFonts w:ascii="Times New Roman" w:hAnsi="Times New Roman"/>
                <w:sz w:val="18"/>
              </w:rPr>
              <w:t>turns very large DE lists into smaller reproducible follow-up sets</w:t>
            </w:r>
          </w:p>
        </w:tc>
      </w:tr>
      <w:tr>
        <w:tc>
          <w:tcPr>
            <w:tcW w:type="dxa" w:w="1872"/>
            <w:vAlign w:val="center"/>
            <w:shd w:fill="EEEAF7"/>
          </w:tcPr>
          <w:p>
            <w:pPr>
              <w:spacing w:line="240" w:lineRule="auto" w:after="20"/>
            </w:pPr>
            <w:r/>
            <w:r>
              <w:rPr>
                <w:rFonts w:ascii="Times New Roman" w:hAnsi="Times New Roman"/>
                <w:sz w:val="18"/>
              </w:rPr>
              <w:t>Enrichment layer</w:t>
            </w:r>
          </w:p>
        </w:tc>
        <w:tc>
          <w:tcPr>
            <w:tcW w:type="dxa" w:w="1872"/>
            <w:vAlign w:val="center"/>
          </w:tcPr>
          <w:p>
            <w:pPr>
              <w:spacing w:line="240" w:lineRule="auto" w:after="20"/>
            </w:pPr>
            <w:r/>
            <w:r>
              <w:rPr>
                <w:rFonts w:ascii="Times New Roman" w:hAnsi="Times New Roman"/>
                <w:sz w:val="18"/>
              </w:rPr>
              <w:t>bend-point-selected gene sets</w:t>
            </w:r>
          </w:p>
        </w:tc>
        <w:tc>
          <w:tcPr>
            <w:tcW w:type="dxa" w:w="1872"/>
            <w:vAlign w:val="center"/>
          </w:tcPr>
          <w:p>
            <w:pPr>
              <w:spacing w:line="240" w:lineRule="auto" w:after="20"/>
            </w:pPr>
            <w:r/>
            <w:r>
              <w:rPr>
                <w:rFonts w:ascii="Times New Roman" w:hAnsi="Times New Roman"/>
                <w:sz w:val="18"/>
              </w:rPr>
              <w:t>g:Profiler</w:t>
            </w:r>
          </w:p>
        </w:tc>
        <w:tc>
          <w:tcPr>
            <w:tcW w:type="dxa" w:w="1872"/>
            <w:vAlign w:val="center"/>
          </w:tcPr>
          <w:p>
            <w:pPr>
              <w:spacing w:line="240" w:lineRule="auto" w:after="20"/>
            </w:pPr>
            <w:r/>
            <w:r>
              <w:rPr>
                <w:rFonts w:ascii="Times New Roman" w:hAnsi="Times New Roman"/>
                <w:sz w:val="18"/>
              </w:rPr>
              <w:t>g:Profiler source-summary and enrichment tables; the main ff branch retained 359 GO:BP, 18 KEGG, and 3 Reactome terms</w:t>
            </w:r>
          </w:p>
        </w:tc>
        <w:tc>
          <w:tcPr>
            <w:tcW w:type="dxa" w:w="1872"/>
            <w:vAlign w:val="center"/>
          </w:tcPr>
          <w:p>
            <w:pPr>
              <w:spacing w:line="240" w:lineRule="auto" w:after="20"/>
            </w:pPr>
            <w:r/>
            <w:r>
              <w:rPr>
                <w:rFonts w:ascii="Times New Roman" w:hAnsi="Times New Roman"/>
                <w:sz w:val="18"/>
              </w:rPr>
              <w:t>captures the terminal functional-summary products without replacing the gene-level story</w:t>
            </w:r>
          </w:p>
        </w:tc>
      </w:tr>
    </w:tbl>
    <w:p/>
    <w:p>
      <w:pPr>
        <w:spacing w:line="240" w:lineRule="auto" w:after="120"/>
        <w:jc w:val="center"/>
      </w:pPr>
      <w:r>
        <w:rPr>
          <w:rFonts w:ascii="Times New Roman" w:hAnsi="Times New Roman"/>
          <w:b/>
          <w:sz w:val="20"/>
        </w:rPr>
        <w:t xml:space="preserve">Table 6. </w:t>
      </w:r>
      <w:r>
        <w:rPr>
          <w:rFonts w:ascii="Times New Roman" w:hAnsi="Times New Roman"/>
          <w:sz w:val="20"/>
        </w:rPr>
        <w:t>Primary side-specific follow-up summary carried out during the Data Analysis stage.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37"/>
        <w:gridCol w:w="1337"/>
        <w:gridCol w:w="1337"/>
        <w:gridCol w:w="1337"/>
        <w:gridCol w:w="1337"/>
        <w:gridCol w:w="1337"/>
        <w:gridCol w:w="1337"/>
      </w:tblGrid>
      <w:tr>
        <w:tc>
          <w:tcPr>
            <w:tcW w:type="dxa" w:w="1337"/>
            <w:vAlign w:val="center"/>
            <w:shd w:fill="F2F2F2"/>
          </w:tcPr>
          <w:p>
            <w:pPr>
              <w:spacing w:line="240" w:lineRule="auto" w:after="20"/>
            </w:pPr>
            <w:r/>
            <w:r>
              <w:rPr>
                <w:rFonts w:ascii="Times New Roman" w:hAnsi="Times New Roman"/>
                <w:b/>
                <w:sz w:val="18"/>
              </w:rPr>
              <w:t>Branch</w:t>
            </w:r>
          </w:p>
        </w:tc>
        <w:tc>
          <w:tcPr>
            <w:tcW w:type="dxa" w:w="1337"/>
            <w:vAlign w:val="center"/>
            <w:shd w:fill="F2F2F2"/>
          </w:tcPr>
          <w:p>
            <w:pPr>
              <w:spacing w:line="240" w:lineRule="auto" w:after="20"/>
            </w:pPr>
            <w:r/>
            <w:r>
              <w:rPr>
                <w:rFonts w:ascii="Times New Roman" w:hAnsi="Times New Roman"/>
                <w:b/>
                <w:sz w:val="18"/>
              </w:rPr>
              <w:t>padj &lt; 0.05 genes</w:t>
            </w:r>
          </w:p>
        </w:tc>
        <w:tc>
          <w:tcPr>
            <w:tcW w:type="dxa" w:w="1337"/>
            <w:vAlign w:val="center"/>
            <w:shd w:fill="F2F2F2"/>
          </w:tcPr>
          <w:p>
            <w:pPr>
              <w:spacing w:line="240" w:lineRule="auto" w:after="20"/>
            </w:pPr>
            <w:r/>
            <w:r>
              <w:rPr>
                <w:rFonts w:ascii="Times New Roman" w:hAnsi="Times New Roman"/>
                <w:b/>
                <w:sz w:val="18"/>
              </w:rPr>
              <w:t>Bend-point genes</w:t>
            </w:r>
          </w:p>
        </w:tc>
        <w:tc>
          <w:tcPr>
            <w:tcW w:type="dxa" w:w="1337"/>
            <w:vAlign w:val="center"/>
            <w:shd w:fill="F2F2F2"/>
          </w:tcPr>
          <w:p>
            <w:pPr>
              <w:spacing w:line="240" w:lineRule="auto" w:after="20"/>
            </w:pPr>
            <w:r/>
            <w:r>
              <w:rPr>
                <w:rFonts w:ascii="Times New Roman" w:hAnsi="Times New Roman"/>
                <w:b/>
                <w:sz w:val="18"/>
              </w:rPr>
              <w:t>Threshold</w:t>
            </w:r>
          </w:p>
        </w:tc>
        <w:tc>
          <w:tcPr>
            <w:tcW w:type="dxa" w:w="1337"/>
            <w:vAlign w:val="center"/>
            <w:shd w:fill="F2F2F2"/>
          </w:tcPr>
          <w:p>
            <w:pPr>
              <w:spacing w:line="240" w:lineRule="auto" w:after="20"/>
            </w:pPr>
            <w:r/>
            <w:r>
              <w:rPr>
                <w:rFonts w:ascii="Times New Roman" w:hAnsi="Times New Roman"/>
                <w:b/>
                <w:sz w:val="18"/>
              </w:rPr>
              <w:t>GO:BP</w:t>
            </w:r>
          </w:p>
        </w:tc>
        <w:tc>
          <w:tcPr>
            <w:tcW w:type="dxa" w:w="1337"/>
            <w:vAlign w:val="center"/>
            <w:shd w:fill="F2F2F2"/>
          </w:tcPr>
          <w:p>
            <w:pPr>
              <w:spacing w:line="240" w:lineRule="auto" w:after="20"/>
            </w:pPr>
            <w:r/>
            <w:r>
              <w:rPr>
                <w:rFonts w:ascii="Times New Roman" w:hAnsi="Times New Roman"/>
                <w:b/>
                <w:sz w:val="18"/>
              </w:rPr>
              <w:t>KEGG</w:t>
            </w:r>
          </w:p>
        </w:tc>
        <w:tc>
          <w:tcPr>
            <w:tcW w:type="dxa" w:w="1337"/>
            <w:vAlign w:val="center"/>
            <w:shd w:fill="F2F2F2"/>
          </w:tcPr>
          <w:p>
            <w:pPr>
              <w:spacing w:line="240" w:lineRule="auto" w:after="20"/>
            </w:pPr>
            <w:r/>
            <w:r>
              <w:rPr>
                <w:rFonts w:ascii="Times New Roman" w:hAnsi="Times New Roman"/>
                <w:b/>
                <w:sz w:val="18"/>
              </w:rPr>
              <w:t>REAC</w:t>
            </w:r>
          </w:p>
        </w:tc>
      </w:tr>
      <w:tr>
        <w:tc>
          <w:tcPr>
            <w:tcW w:type="dxa" w:w="1337"/>
            <w:vAlign w:val="center"/>
            <w:shd w:fill="EEEAF7"/>
          </w:tcPr>
          <w:p>
            <w:pPr>
              <w:spacing w:line="240" w:lineRule="auto" w:after="20"/>
            </w:pPr>
            <w:r/>
            <w:r>
              <w:rPr>
                <w:rFonts w:ascii="Times New Roman" w:hAnsi="Times New Roman"/>
                <w:sz w:val="18"/>
              </w:rPr>
              <w:t>ff side branch</w:t>
            </w:r>
          </w:p>
        </w:tc>
        <w:tc>
          <w:tcPr>
            <w:tcW w:type="dxa" w:w="1337"/>
            <w:vAlign w:val="center"/>
          </w:tcPr>
          <w:p>
            <w:pPr>
              <w:spacing w:line="240" w:lineRule="auto" w:after="20"/>
            </w:pPr>
            <w:r/>
            <w:r>
              <w:rPr>
                <w:rFonts w:ascii="Times New Roman" w:hAnsi="Times New Roman"/>
                <w:sz w:val="18"/>
              </w:rPr>
              <w:t>7,023</w:t>
            </w:r>
          </w:p>
        </w:tc>
        <w:tc>
          <w:tcPr>
            <w:tcW w:type="dxa" w:w="1337"/>
            <w:vAlign w:val="center"/>
          </w:tcPr>
          <w:p>
            <w:pPr>
              <w:spacing w:line="240" w:lineRule="auto" w:after="20"/>
            </w:pPr>
            <w:r/>
            <w:r>
              <w:rPr>
                <w:rFonts w:ascii="Times New Roman" w:hAnsi="Times New Roman"/>
                <w:sz w:val="18"/>
              </w:rPr>
              <w:t>709</w:t>
            </w:r>
          </w:p>
        </w:tc>
        <w:tc>
          <w:tcPr>
            <w:tcW w:type="dxa" w:w="1337"/>
            <w:vAlign w:val="center"/>
          </w:tcPr>
          <w:p>
            <w:pPr>
              <w:spacing w:line="240" w:lineRule="auto" w:after="20"/>
            </w:pPr>
            <w:r/>
            <w:r>
              <w:rPr>
                <w:rFonts w:ascii="Times New Roman" w:hAnsi="Times New Roman"/>
                <w:sz w:val="18"/>
              </w:rPr>
              <w:t>1.37e-17</w:t>
            </w:r>
          </w:p>
        </w:tc>
        <w:tc>
          <w:tcPr>
            <w:tcW w:type="dxa" w:w="1337"/>
            <w:vAlign w:val="center"/>
          </w:tcPr>
          <w:p>
            <w:pPr>
              <w:spacing w:line="240" w:lineRule="auto" w:after="20"/>
            </w:pPr>
            <w:r/>
            <w:r>
              <w:rPr>
                <w:rFonts w:ascii="Times New Roman" w:hAnsi="Times New Roman"/>
                <w:sz w:val="18"/>
              </w:rPr>
              <w:t>359</w:t>
            </w:r>
          </w:p>
        </w:tc>
        <w:tc>
          <w:tcPr>
            <w:tcW w:type="dxa" w:w="1337"/>
            <w:vAlign w:val="center"/>
          </w:tcPr>
          <w:p>
            <w:pPr>
              <w:spacing w:line="240" w:lineRule="auto" w:after="20"/>
            </w:pPr>
            <w:r/>
            <w:r>
              <w:rPr>
                <w:rFonts w:ascii="Times New Roman" w:hAnsi="Times New Roman"/>
                <w:sz w:val="18"/>
              </w:rPr>
              <w:t>18</w:t>
            </w:r>
          </w:p>
        </w:tc>
        <w:tc>
          <w:tcPr>
            <w:tcW w:type="dxa" w:w="1337"/>
            <w:vAlign w:val="center"/>
          </w:tcPr>
          <w:p>
            <w:pPr>
              <w:spacing w:line="240" w:lineRule="auto" w:after="20"/>
            </w:pPr>
            <w:r/>
            <w:r>
              <w:rPr>
                <w:rFonts w:ascii="Times New Roman" w:hAnsi="Times New Roman"/>
                <w:sz w:val="18"/>
              </w:rPr>
              <w:t>3</w:t>
            </w:r>
          </w:p>
        </w:tc>
      </w:tr>
      <w:tr>
        <w:tc>
          <w:tcPr>
            <w:tcW w:type="dxa" w:w="1337"/>
            <w:vAlign w:val="center"/>
            <w:shd w:fill="EEEAF7"/>
          </w:tcPr>
          <w:p>
            <w:pPr>
              <w:spacing w:line="240" w:lineRule="auto" w:after="20"/>
            </w:pPr>
            <w:r/>
            <w:r>
              <w:rPr>
                <w:rFonts w:ascii="Times New Roman" w:hAnsi="Times New Roman"/>
                <w:sz w:val="18"/>
              </w:rPr>
              <w:t>cre side branch</w:t>
            </w:r>
          </w:p>
        </w:tc>
        <w:tc>
          <w:tcPr>
            <w:tcW w:type="dxa" w:w="1337"/>
            <w:vAlign w:val="center"/>
          </w:tcPr>
          <w:p>
            <w:pPr>
              <w:spacing w:line="240" w:lineRule="auto" w:after="20"/>
            </w:pPr>
            <w:r/>
            <w:r>
              <w:rPr>
                <w:rFonts w:ascii="Times New Roman" w:hAnsi="Times New Roman"/>
                <w:sz w:val="18"/>
              </w:rPr>
              <w:t>7,541</w:t>
            </w:r>
          </w:p>
        </w:tc>
        <w:tc>
          <w:tcPr>
            <w:tcW w:type="dxa" w:w="1337"/>
            <w:vAlign w:val="center"/>
          </w:tcPr>
          <w:p>
            <w:pPr>
              <w:spacing w:line="240" w:lineRule="auto" w:after="20"/>
            </w:pPr>
            <w:r/>
            <w:r>
              <w:rPr>
                <w:rFonts w:ascii="Times New Roman" w:hAnsi="Times New Roman"/>
                <w:sz w:val="18"/>
              </w:rPr>
              <w:t>870</w:t>
            </w:r>
          </w:p>
        </w:tc>
        <w:tc>
          <w:tcPr>
            <w:tcW w:type="dxa" w:w="1337"/>
            <w:vAlign w:val="center"/>
          </w:tcPr>
          <w:p>
            <w:pPr>
              <w:spacing w:line="240" w:lineRule="auto" w:after="20"/>
            </w:pPr>
            <w:r/>
            <w:r>
              <w:rPr>
                <w:rFonts w:ascii="Times New Roman" w:hAnsi="Times New Roman"/>
                <w:sz w:val="18"/>
              </w:rPr>
              <w:t>8.40e-17</w:t>
            </w:r>
          </w:p>
        </w:tc>
        <w:tc>
          <w:tcPr>
            <w:tcW w:type="dxa" w:w="1337"/>
            <w:vAlign w:val="center"/>
          </w:tcPr>
          <w:p>
            <w:pPr>
              <w:spacing w:line="240" w:lineRule="auto" w:after="20"/>
            </w:pPr>
            <w:r/>
            <w:r>
              <w:rPr>
                <w:rFonts w:ascii="Times New Roman" w:hAnsi="Times New Roman"/>
                <w:sz w:val="18"/>
              </w:rPr>
              <w:t>425</w:t>
            </w:r>
          </w:p>
        </w:tc>
        <w:tc>
          <w:tcPr>
            <w:tcW w:type="dxa" w:w="1337"/>
            <w:vAlign w:val="center"/>
          </w:tcPr>
          <w:p>
            <w:pPr>
              <w:spacing w:line="240" w:lineRule="auto" w:after="20"/>
            </w:pPr>
            <w:r/>
            <w:r>
              <w:rPr>
                <w:rFonts w:ascii="Times New Roman" w:hAnsi="Times New Roman"/>
                <w:sz w:val="18"/>
              </w:rPr>
              <w:t>21</w:t>
            </w:r>
          </w:p>
        </w:tc>
        <w:tc>
          <w:tcPr>
            <w:tcW w:type="dxa" w:w="1337"/>
            <w:vAlign w:val="center"/>
          </w:tcPr>
          <w:p>
            <w:pPr>
              <w:spacing w:line="240" w:lineRule="auto" w:after="20"/>
            </w:pPr>
            <w:r/>
            <w:r>
              <w:rPr>
                <w:rFonts w:ascii="Times New Roman" w:hAnsi="Times New Roman"/>
                <w:sz w:val="18"/>
              </w:rPr>
              <w:t>7</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