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30"/>
        </w:rPr>
        <w:t>NGS Reanalysis Study on Identification Using Global DEG Discovery of DRG Mouse Dataset</w:t>
      </w:r>
    </w:p>
    <w:p>
      <w:pPr>
        <w:spacing w:line="480" w:lineRule="auto"/>
        <w:jc w:val="center"/>
      </w:pPr>
      <w:r>
        <w:rPr>
          <w:rFonts w:ascii="Times New Roman" w:hAnsi="Times New Roman"/>
          <w:b w:val="0"/>
          <w:sz w:val="24"/>
        </w:rPr>
        <w:t>BIOL550 Group Paper Draft 2</w:t>
      </w:r>
    </w:p>
    <w:p>
      <w:pPr>
        <w:spacing w:line="480" w:lineRule="auto"/>
        <w:jc w:val="center"/>
      </w:pPr>
      <w:r>
        <w:rPr>
          <w:rFonts w:ascii="Times New Roman" w:hAnsi="Times New Roman"/>
          <w:b w:val="0"/>
          <w:sz w:val="24"/>
        </w:rPr>
        <w:t>Nikhi Boggavarapu | Sam Kopelev | Piter Garcia</w:t>
      </w:r>
    </w:p>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680"/>
        <w:gridCol w:w="4680"/>
      </w:tblGrid>
      <w:tr>
        <w:tc>
          <w:tcPr>
            <w:tcW w:type="dxa" w:w="4680"/>
            <w:vAlign w:val="center"/>
          </w:tcPr>
          <w:p>
            <w:pPr>
              <w:spacing w:line="240" w:lineRule="auto"/>
            </w:pPr>
            <w:r/>
            <w:r>
              <w:rPr>
                <w:rFonts w:ascii="Times New Roman" w:hAnsi="Times New Roman"/>
                <w:b/>
                <w:sz w:val="22"/>
              </w:rPr>
              <w:t>Member</w:t>
            </w:r>
          </w:p>
        </w:tc>
        <w:tc>
          <w:tcPr>
            <w:tcW w:type="dxa" w:w="4680"/>
            <w:vAlign w:val="center"/>
          </w:tcPr>
          <w:p>
            <w:pPr>
              <w:spacing w:line="240" w:lineRule="auto"/>
            </w:pPr>
            <w:r/>
            <w:r>
              <w:rPr>
                <w:rFonts w:ascii="Times New Roman" w:hAnsi="Times New Roman"/>
                <w:b/>
                <w:sz w:val="22"/>
              </w:rPr>
              <w:t>Note</w:t>
            </w:r>
          </w:p>
        </w:tc>
      </w:tr>
      <w:tr>
        <w:tc>
          <w:tcPr>
            <w:tcW w:type="dxa" w:w="4680"/>
            <w:vAlign w:val="center"/>
            <w:shd w:fill="D9D2E9"/>
          </w:tcPr>
          <w:p>
            <w:pPr>
              <w:spacing w:line="240" w:lineRule="auto"/>
            </w:pPr>
            <w:r/>
            <w:r>
              <w:rPr>
                <w:rFonts w:ascii="Times New Roman" w:hAnsi="Times New Roman"/>
                <w:sz w:val="22"/>
              </w:rPr>
              <w:t>Nikhi Boggavarapu</w:t>
            </w:r>
          </w:p>
        </w:tc>
        <w:tc>
          <w:tcPr>
            <w:tcW w:type="dxa" w:w="4680"/>
            <w:vAlign w:val="center"/>
            <w:shd w:fill="D9D2E9"/>
          </w:tcPr>
          <w:p>
            <w:pPr>
              <w:spacing w:line="240" w:lineRule="auto"/>
            </w:pPr>
            <w:r/>
            <w:r>
              <w:rPr>
                <w:rFonts w:ascii="Times New Roman" w:hAnsi="Times New Roman"/>
                <w:sz w:val="22"/>
              </w:rPr>
              <w:t>Highlighted text in light purple indicates Nikhi's contribution.</w:t>
            </w:r>
          </w:p>
        </w:tc>
      </w:tr>
      <w:tr>
        <w:tc>
          <w:tcPr>
            <w:tcW w:type="dxa" w:w="4680"/>
            <w:vAlign w:val="center"/>
            <w:shd w:fill="B6D7A8"/>
          </w:tcPr>
          <w:p>
            <w:pPr>
              <w:spacing w:line="240" w:lineRule="auto"/>
            </w:pPr>
            <w:r/>
            <w:r>
              <w:rPr>
                <w:rFonts w:ascii="Times New Roman" w:hAnsi="Times New Roman"/>
                <w:sz w:val="22"/>
              </w:rPr>
              <w:t>Sam Kopelev</w:t>
            </w:r>
          </w:p>
        </w:tc>
        <w:tc>
          <w:tcPr>
            <w:tcW w:type="dxa" w:w="4680"/>
            <w:vAlign w:val="center"/>
            <w:shd w:fill="B6D7A8"/>
          </w:tcPr>
          <w:p>
            <w:pPr>
              <w:spacing w:line="240" w:lineRule="auto"/>
            </w:pPr>
            <w:r/>
            <w:r>
              <w:rPr>
                <w:rFonts w:ascii="Times New Roman" w:hAnsi="Times New Roman"/>
                <w:sz w:val="22"/>
              </w:rPr>
              <w:t>Highlighted text in light green indicates Sam's contribution.</w:t>
            </w:r>
          </w:p>
        </w:tc>
      </w:tr>
      <w:tr>
        <w:tc>
          <w:tcPr>
            <w:tcW w:type="dxa" w:w="4680"/>
            <w:vAlign w:val="center"/>
            <w:shd w:fill="F4CCCC"/>
          </w:tcPr>
          <w:p>
            <w:pPr>
              <w:spacing w:line="240" w:lineRule="auto"/>
            </w:pPr>
            <w:r/>
            <w:r>
              <w:rPr>
                <w:rFonts w:ascii="Times New Roman" w:hAnsi="Times New Roman"/>
                <w:sz w:val="22"/>
              </w:rPr>
              <w:t>Piter Garcia</w:t>
            </w:r>
          </w:p>
        </w:tc>
        <w:tc>
          <w:tcPr>
            <w:tcW w:type="dxa" w:w="4680"/>
            <w:vAlign w:val="center"/>
            <w:shd w:fill="F4CCCC"/>
          </w:tcPr>
          <w:p>
            <w:pPr>
              <w:spacing w:line="240" w:lineRule="auto"/>
            </w:pPr>
            <w:r/>
            <w:r>
              <w:rPr>
                <w:rFonts w:ascii="Times New Roman" w:hAnsi="Times New Roman"/>
                <w:sz w:val="22"/>
              </w:rPr>
              <w:t>Highlighted text in light red indicates Piter's contribution, including transition wording added for flow.</w:t>
            </w:r>
          </w:p>
        </w:tc>
      </w:tr>
    </w:tbl>
    <w:p/>
    <w:p>
      <w:pPr>
        <w:pStyle w:val="Heading1"/>
        <w:spacing w:line="480" w:lineRule="auto" w:before="0" w:after="160"/>
      </w:pPr>
      <w:r>
        <w:rPr>
          <w:rFonts w:ascii="Times New Roman" w:hAnsi="Times New Roman"/>
          <w:b/>
          <w:sz w:val="28"/>
        </w:rPr>
        <w:t>Introduction</w:t>
      </w:r>
    </w:p>
    <w:p>
      <w:pPr>
        <w:spacing w:line="480" w:lineRule="auto" w:after="120"/>
        <w:shd w:fill="B6D7A8"/>
      </w:pPr>
      <w:r>
        <w:rPr>
          <w:rFonts w:ascii="Times New Roman" w:hAnsi="Times New Roman"/>
          <w:b w:val="0"/>
          <w:sz w:val="24"/>
        </w:rPr>
        <w:t>The published study behind this dataset examines how injured dorsal root ganglion (DRG) neurons balance stress adaptation with regenerative growth after sciatic nerve injury, with particular emphasis on the aryl hydrocarbon receptor (AhR) as a regulator of that balance (Halawani et al., 2023). Because DRG neurons retain peripheral regenerative capacity, they provide a useful model for studying how injury-responsive transcriptional programs shift between preservation and growth after nerve damage (Halawani et al., 2023).</w:t>
      </w:r>
    </w:p>
    <w:p>
      <w:pPr>
        <w:spacing w:line="480" w:lineRule="auto" w:after="120"/>
        <w:shd w:fill="B6D7A8"/>
      </w:pPr>
      <w:r>
        <w:rPr>
          <w:rFonts w:ascii="Times New Roman" w:hAnsi="Times New Roman"/>
          <w:b w:val="0"/>
          <w:sz w:val="24"/>
        </w:rPr>
        <w:t>The source paper frames AhR as a neuronal brake on axon regeneration rather than as a direct promoter of growth. In that study, AhR-associated signaling remained distinct from the better-known pro-regenerative transcription factor network and was instead linked to stress response, translation control, and proteostasis-related regulation (Halawani et al., 2023). This context makes the RNA-seq dataset valuable for reanalysis because it allows the injury response to be examined at a transcriptome-wide level instead of only through a short list of candidate genes.</w:t>
      </w:r>
    </w:p>
    <w:p>
      <w:pPr>
        <w:spacing w:line="480" w:lineRule="auto" w:after="120"/>
        <w:shd w:fill="B6D7A8"/>
      </w:pPr>
      <w:r>
        <w:rPr>
          <w:rFonts w:ascii="Times New Roman" w:hAnsi="Times New Roman"/>
          <w:b w:val="0"/>
          <w:sz w:val="24"/>
        </w:rPr>
        <w:t>The experimental design compared ipsilateral DRGs from the injured side with contralateral DRGs from the uninjured side while also tracking genotype. The study used a neuron-focused conditional knockout of Ahr, which is important because it isolates neuron-intrinsic effects more cleanly than a full-body knockout background with broader pathology (Halawani et al., 2023). In the subset reanalyzed here, the two genotype classes correspond to wild-type control ff samples and AhR conditional knockout cre samples drawn from the same 20-sample DRG cohort (Halawani et al., 2023; NCBI SRA, 2026; NCBI BioProject, 2026; NCBI GEO, 2026).</w:t>
      </w:r>
    </w:p>
    <w:p>
      <w:pPr>
        <w:spacing w:line="480" w:lineRule="auto" w:after="120"/>
        <w:shd w:fill="B6D7A8"/>
      </w:pPr>
      <w:r>
        <w:rPr>
          <w:rFonts w:ascii="Times New Roman" w:hAnsi="Times New Roman"/>
          <w:b w:val="0"/>
          <w:sz w:val="24"/>
        </w:rPr>
        <w:t>We used the original paper as a biological anchor while extending the analysis beyond its candidate-gene emphasis. Instead of limiting interpretation to the genes highlighted in the source study, we used transcriptome-wide differential expression, reproducible bend-point narrowing, and pathway-level analysis to test whether the strongest signals in the data still centered on injury-side differences and to determine how genotype-related effects compared with that dominant contrast.</w:t>
      </w:r>
    </w:p>
    <w:p>
      <w:pPr>
        <w:spacing w:line="480" w:lineRule="auto" w:after="120"/>
        <w:shd w:fill="D9D2E9"/>
      </w:pPr>
      <w:r>
        <w:rPr>
          <w:rFonts w:ascii="Times New Roman" w:hAnsi="Times New Roman"/>
          <w:b w:val="0"/>
          <w:sz w:val="24"/>
        </w:rPr>
        <w:t>Keeping those goals in mind, this reanalysis completed the main RNA-seq stages from quality control through functional interpretation. The workflow included trimming and alignment, differential expression across the major biological contrasts, and pathway analysis to place the strongest differentially expressed gene sets into a broader biological context. In practice, this let us compare the published AhR-centered interpretation with a more global discovery framework built from the full dataset (Halawani et al., 2023; Love et al., 2014; Kolberg et al., 2020; Gene Ontology Consortium, 2021; Kanehisa et al., 2025; Gillespie et al., 2022).</w:t>
      </w:r>
    </w:p>
    <w:p>
      <w:r>
        <w:br w:type="page"/>
      </w:r>
    </w:p>
    <w:p>
      <w:pPr>
        <w:pStyle w:val="Heading1"/>
        <w:spacing w:line="480" w:lineRule="auto" w:before="0" w:after="160"/>
      </w:pPr>
      <w:r>
        <w:rPr>
          <w:rFonts w:ascii="Times New Roman" w:hAnsi="Times New Roman"/>
          <w:b/>
          <w:sz w:val="28"/>
        </w:rPr>
        <w:t>Materials and Methods</w:t>
      </w:r>
    </w:p>
    <w:p>
      <w:pPr>
        <w:spacing w:line="480" w:lineRule="auto" w:after="120"/>
        <w:shd w:fill="F4CCCC"/>
      </w:pPr>
      <w:r>
        <w:rPr>
          <w:rFonts w:ascii="Times New Roman" w:hAnsi="Times New Roman"/>
          <w:b w:val="0"/>
          <w:sz w:val="24"/>
        </w:rPr>
        <w:t>This project reanalyzed mouse DRG bulk RNA-seq data collected after sciatic nerve injury using a four-stage computational workflow: Data Collection, Data Cleaning, Data Preparation, and Data Analysis and Interpretation. This structure preserved accession tracking, quality control, alignment review, and downstream modeling as explicit and reproducible checkpoints while allowing the same analysis path to be reused after earlier dataset-selection issues (Wirth &amp; Hipp, 2000).</w:t>
      </w:r>
    </w:p>
    <w:p>
      <w:pPr>
        <w:spacing w:line="480" w:lineRule="auto" w:after="120"/>
        <w:shd w:fill="F4CCCC"/>
      </w:pPr>
      <w:r>
        <w:rPr>
          <w:rFonts w:ascii="Times New Roman" w:hAnsi="Times New Roman"/>
          <w:b w:val="0"/>
          <w:sz w:val="24"/>
        </w:rPr>
        <w:t>The working subset comprised 20 Illumina NovaSeq X paired-end libraries from SRP618841 (BioProject PRJNA1322439; GEO GSE243308), representing L4--L6 DRG samples collected 1 day after sciatic nerve injury (Halawani et al., 2023; NCBI SRA, 2026; NCBI BioProject, 2026; NCBI GEO, 2026). The retained subset was organized as a balanced side-by-genotype design within the family_drg_novaseqx family, with equal representation of ipsilateral and contralateral samples and of wild-type and cKO genotype classes before quality control, alignment, and differential expression analysis.</w:t>
      </w:r>
    </w:p>
    <w:p>
      <w:pPr>
        <w:spacing w:before="0" w:after="0"/>
        <w:jc w:val="center"/>
      </w:pPr>
      <w:r>
        <w:drawing>
          <wp:inline xmlns:a="http://schemas.openxmlformats.org/drawingml/2006/main" xmlns:pic="http://schemas.openxmlformats.org/drawingml/2006/picture">
            <wp:extent cx="5486400" cy="2328672"/>
            <wp:docPr id="1" name="Picture 1"/>
            <wp:cNvGraphicFramePr>
              <a:graphicFrameLocks noChangeAspect="1"/>
            </wp:cNvGraphicFramePr>
            <a:graphic>
              <a:graphicData uri="http://schemas.openxmlformats.org/drawingml/2006/picture">
                <pic:pic>
                  <pic:nvPicPr>
                    <pic:cNvPr id="0" name="overview_workflow.png"/>
                    <pic:cNvPicPr/>
                  </pic:nvPicPr>
                  <pic:blipFill>
                    <a:blip r:embed="rId9"/>
                    <a:stretch>
                      <a:fillRect/>
                    </a:stretch>
                  </pic:blipFill>
                  <pic:spPr>
                    <a:xfrm>
                      <a:off x="0" y="0"/>
                      <a:ext cx="5486400" cy="2328672"/>
                    </a:xfrm>
                    <a:prstGeom prst="rect"/>
                  </pic:spPr>
                </pic:pic>
              </a:graphicData>
            </a:graphic>
          </wp:inline>
        </w:drawing>
      </w:r>
    </w:p>
    <w:p>
      <w:pPr>
        <w:spacing w:line="240" w:lineRule="auto" w:before="0" w:after="80"/>
        <w:jc w:val="center"/>
      </w:pPr>
      <w:r>
        <w:rPr>
          <w:rFonts w:ascii="Times New Roman" w:hAnsi="Times New Roman"/>
          <w:b/>
          <w:sz w:val="20"/>
        </w:rPr>
        <w:t xml:space="preserve">Figure 1. </w:t>
      </w:r>
      <w:r>
        <w:rPr>
          <w:rFonts w:ascii="Times New Roman" w:hAnsi="Times New Roman"/>
          <w:sz w:val="20"/>
        </w:rPr>
        <w:t>Overview ribbon summarizing the four computational stages and their stage-owned handoffs in the mouse_new</w:t>
      </w:r>
    </w:p>
    <w:p>
      <w:pPr>
        <w:spacing w:line="480" w:lineRule="auto" w:after="120"/>
        <w:shd w:fill="F4CCCC"/>
      </w:pPr>
      <w:r>
        <w:rPr>
          <w:rFonts w:ascii="Times New Roman" w:hAnsi="Times New Roman"/>
          <w:b w:val="0"/>
          <w:sz w:val="24"/>
        </w:rPr>
        <w:t>The workflow was structured as four connected stages with explicit checkpoints and handoffs. The Collection stage used prefetch and fasterq-dump to assemble the sample table and family manifest, retaining 20 SRRs across four balanced subgroups (n = 5 each). The Cleaning stage applied FastQC, MultiQC, and fastp, generating the QC summaries that documented adapter remediation before alignment. The Preparation stage used STAR with GeneCounts to produce coordinate-sorted BAM files, STAR alignment summaries, and per-sample count tables. The Analysis stage used DESeq2, bend-point follow-up, and g:Profiler to generate the differential expression and enrichment outputs used in later interpretation (Andrews, 2010; Ewels et al., 2016; Chen et al., 2018; Dobin et al., 2013; Love et al., 2014; Kolberg et al., 2020).</w:t>
      </w:r>
    </w:p>
    <w:p>
      <w:pPr>
        <w:spacing w:line="240" w:lineRule="auto" w:before="0" w:after="80"/>
        <w:jc w:val="center"/>
      </w:pPr>
      <w:r>
        <w:rPr>
          <w:rFonts w:ascii="Times New Roman" w:hAnsi="Times New Roman"/>
          <w:b/>
          <w:sz w:val="20"/>
        </w:rPr>
        <w:t xml:space="preserve">Table 1. </w:t>
      </w:r>
      <w:r>
        <w:rPr>
          <w:rFonts w:ascii="Times New Roman" w:hAnsi="Times New Roman"/>
          <w:sz w:val="20"/>
        </w:rPr>
        <w:t>Representative command examples for the tools used in the mouse_new</w:t>
      </w:r>
    </w:p>
    <w:tbl>
      <w:tblPr>
        <w:tblStyle w:val="TableGrid"/>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120"/>
        <w:gridCol w:w="3120"/>
        <w:gridCol w:w="3120"/>
      </w:tblGrid>
      <w:tr>
        <w:tc>
          <w:tcPr>
            <w:tcW w:type="dxa" w:w="3120"/>
            <w:vAlign w:val="center"/>
            <w:shd w:fill="F5F6F7"/>
          </w:tcPr>
          <w:p>
            <w:pPr>
              <w:spacing w:line="240" w:lineRule="auto"/>
            </w:pPr>
            <w:r/>
            <w:r>
              <w:rPr>
                <w:rFonts w:ascii="Times New Roman" w:hAnsi="Times New Roman"/>
                <w:b/>
                <w:sz w:val="18"/>
              </w:rPr>
              <w:t>Stage</w:t>
            </w:r>
          </w:p>
        </w:tc>
        <w:tc>
          <w:tcPr>
            <w:tcW w:type="dxa" w:w="3120"/>
            <w:vAlign w:val="center"/>
            <w:shd w:fill="F5F6F7"/>
          </w:tcPr>
          <w:p>
            <w:pPr>
              <w:spacing w:line="240" w:lineRule="auto"/>
            </w:pPr>
            <w:r/>
            <w:r>
              <w:rPr>
                <w:rFonts w:ascii="Times New Roman" w:hAnsi="Times New Roman"/>
                <w:b/>
                <w:sz w:val="18"/>
              </w:rPr>
              <w:t>Tool</w:t>
            </w:r>
          </w:p>
        </w:tc>
        <w:tc>
          <w:tcPr>
            <w:tcW w:type="dxa" w:w="3120"/>
            <w:vAlign w:val="center"/>
            <w:shd w:fill="F5F6F7"/>
          </w:tcPr>
          <w:p>
            <w:pPr>
              <w:spacing w:line="240" w:lineRule="auto"/>
            </w:pPr>
            <w:r/>
            <w:r>
              <w:rPr>
                <w:rFonts w:ascii="Times New Roman" w:hAnsi="Times New Roman"/>
                <w:b/>
                <w:sz w:val="18"/>
              </w:rPr>
              <w:t>Representative command/code example</w:t>
            </w:r>
          </w:p>
        </w:tc>
      </w:tr>
      <w:tr>
        <w:tc>
          <w:tcPr>
            <w:tcW w:type="dxa" w:w="3120"/>
            <w:vAlign w:val="center"/>
            <w:shd w:fill="DDEBF7"/>
          </w:tcPr>
          <w:p>
            <w:pPr>
              <w:spacing w:line="240" w:lineRule="auto"/>
            </w:pPr>
            <w:r/>
            <w:r>
              <w:rPr>
                <w:rFonts w:ascii="Times New Roman" w:hAnsi="Times New Roman"/>
                <w:b/>
                <w:sz w:val="18"/>
              </w:rPr>
              <w:t>Collection</w:t>
            </w:r>
          </w:p>
        </w:tc>
        <w:tc>
          <w:tcPr>
            <w:tcW w:type="dxa" w:w="3120"/>
            <w:vAlign w:val="center"/>
            <w:shd w:fill="DDEBF7"/>
          </w:tcPr>
          <w:p>
            <w:pPr>
              <w:spacing w:line="240" w:lineRule="auto"/>
            </w:pPr>
            <w:r/>
            <w:r>
              <w:rPr>
                <w:rFonts w:ascii="Times New Roman" w:hAnsi="Times New Roman"/>
                <w:sz w:val="18"/>
              </w:rPr>
              <w:t>prefetch + fasterq-dump</w:t>
            </w:r>
          </w:p>
        </w:tc>
        <w:tc>
          <w:tcPr>
            <w:tcW w:type="dxa" w:w="3120"/>
            <w:vAlign w:val="center"/>
            <w:shd w:fill="F5F6F7"/>
          </w:tcPr>
          <w:p>
            <w:pPr>
              <w:spacing w:line="240" w:lineRule="auto"/>
            </w:pPr>
            <w:r/>
            <w:r>
              <w:rPr>
                <w:rFonts w:ascii="Courier New" w:hAnsi="Courier New"/>
                <w:sz w:val="16"/>
              </w:rPr>
              <w:t>prefetch SRR35329980 &amp;&amp;\\ fasterq-dump SRR35329980 --split-files -O fastq/</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FastQC</w:t>
            </w:r>
          </w:p>
        </w:tc>
        <w:tc>
          <w:tcPr>
            <w:tcW w:type="dxa" w:w="3120"/>
            <w:vAlign w:val="center"/>
            <w:shd w:fill="F5F6F7"/>
          </w:tcPr>
          <w:p>
            <w:pPr>
              <w:spacing w:line="240" w:lineRule="auto"/>
            </w:pPr>
            <w:r/>
            <w:r>
              <w:rPr>
                <w:rFonts w:ascii="Courier New" w:hAnsi="Courier New"/>
                <w:sz w:val="16"/>
              </w:rPr>
              <w:t>fastqc raw/*.fastq.gz trimmed/*.fastq.gz --outdir fastqc_reports/</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MultiQC</w:t>
            </w:r>
          </w:p>
        </w:tc>
        <w:tc>
          <w:tcPr>
            <w:tcW w:type="dxa" w:w="3120"/>
            <w:vAlign w:val="center"/>
            <w:shd w:fill="F5F6F7"/>
          </w:tcPr>
          <w:p>
            <w:pPr>
              <w:spacing w:line="240" w:lineRule="auto"/>
            </w:pPr>
            <w:r/>
            <w:r>
              <w:rPr>
                <w:rFonts w:ascii="Courier New" w:hAnsi="Courier New"/>
                <w:sz w:val="16"/>
              </w:rPr>
              <w:t>multiqc fastqc_reports/ fastp_reports_full/ -o multiqc/</w:t>
            </w:r>
          </w:p>
        </w:tc>
      </w:tr>
      <w:tr>
        <w:tc>
          <w:tcPr>
            <w:tcW w:type="dxa" w:w="3120"/>
            <w:vAlign w:val="center"/>
            <w:shd w:fill="E2F0D9"/>
          </w:tcPr>
          <w:p>
            <w:pPr>
              <w:spacing w:line="240" w:lineRule="auto"/>
            </w:pPr>
            <w:r/>
            <w:r>
              <w:rPr>
                <w:rFonts w:ascii="Times New Roman" w:hAnsi="Times New Roman"/>
                <w:b/>
                <w:sz w:val="18"/>
              </w:rPr>
              <w:t>Cleaning</w:t>
            </w:r>
          </w:p>
        </w:tc>
        <w:tc>
          <w:tcPr>
            <w:tcW w:type="dxa" w:w="3120"/>
            <w:vAlign w:val="center"/>
            <w:shd w:fill="E2F0D9"/>
          </w:tcPr>
          <w:p>
            <w:pPr>
              <w:spacing w:line="240" w:lineRule="auto"/>
            </w:pPr>
            <w:r/>
            <w:r>
              <w:rPr>
                <w:rFonts w:ascii="Times New Roman" w:hAnsi="Times New Roman"/>
                <w:sz w:val="18"/>
              </w:rPr>
              <w:t>fastp</w:t>
            </w:r>
          </w:p>
        </w:tc>
        <w:tc>
          <w:tcPr>
            <w:tcW w:type="dxa" w:w="3120"/>
            <w:vAlign w:val="center"/>
            <w:shd w:fill="F5F6F7"/>
          </w:tcPr>
          <w:p>
            <w:pPr>
              <w:spacing w:line="240" w:lineRule="auto"/>
            </w:pPr>
            <w:r/>
            <w:r>
              <w:rPr>
                <w:rFonts w:ascii="Courier New" w:hAnsi="Courier New"/>
                <w:sz w:val="16"/>
              </w:rPr>
              <w:t>fastp -i sample_R1.fastq.gz -I sample_R2.fastq.gz\\ -o clean_R1.fastq.gz -O clean_R2.fastq.gz\\ --detect_adapter_for_pe --trim_poly_g\\ --cut_mean_quality 20 --length_required 30\\ -h sample.html -j sample.json</w:t>
            </w:r>
          </w:p>
        </w:tc>
      </w:tr>
      <w:tr>
        <w:tc>
          <w:tcPr>
            <w:tcW w:type="dxa" w:w="3120"/>
            <w:vAlign w:val="center"/>
            <w:shd w:fill="FCE4D6"/>
          </w:tcPr>
          <w:p>
            <w:pPr>
              <w:spacing w:line="240" w:lineRule="auto"/>
            </w:pPr>
            <w:r/>
            <w:r>
              <w:rPr>
                <w:rFonts w:ascii="Times New Roman" w:hAnsi="Times New Roman"/>
                <w:b/>
                <w:sz w:val="18"/>
              </w:rPr>
              <w:t>Preparation</w:t>
            </w:r>
          </w:p>
        </w:tc>
        <w:tc>
          <w:tcPr>
            <w:tcW w:type="dxa" w:w="3120"/>
            <w:vAlign w:val="center"/>
            <w:shd w:fill="FCE4D6"/>
          </w:tcPr>
          <w:p>
            <w:pPr>
              <w:spacing w:line="240" w:lineRule="auto"/>
            </w:pPr>
            <w:r/>
            <w:r>
              <w:rPr>
                <w:rFonts w:ascii="Times New Roman" w:hAnsi="Times New Roman"/>
                <w:sz w:val="18"/>
              </w:rPr>
              <w:t>STAR</w:t>
            </w:r>
          </w:p>
        </w:tc>
        <w:tc>
          <w:tcPr>
            <w:tcW w:type="dxa" w:w="3120"/>
            <w:vAlign w:val="center"/>
            <w:shd w:fill="F5F6F7"/>
          </w:tcPr>
          <w:p>
            <w:pPr>
              <w:spacing w:line="240" w:lineRule="auto"/>
            </w:pPr>
            <w:r/>
            <w:r>
              <w:rPr>
                <w:rFonts w:ascii="Courier New" w:hAnsi="Courier New"/>
                <w:sz w:val="16"/>
              </w:rPr>
              <w:t>STAR --runThreadN 8 --genomeDir star_index\\ --readFilesIn clean_R1.fastq.gz clean_R2.fastq.gz\\ --readFilesCommand zcat\\ --sjdbGTFfile Mus_musculus.GRCm39.115.gtf\\ --outSAMtype BAM SortedByCoordinate\\ --quantMode GeneCounts</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DESeq2</w:t>
            </w:r>
          </w:p>
        </w:tc>
        <w:tc>
          <w:tcPr>
            <w:tcW w:type="dxa" w:w="3120"/>
            <w:vAlign w:val="center"/>
            <w:shd w:fill="F5F6F7"/>
          </w:tcPr>
          <w:p>
            <w:pPr>
              <w:spacing w:line="240" w:lineRule="auto"/>
            </w:pPr>
            <w:r/>
            <w:r>
              <w:rPr>
                <w:rFonts w:ascii="Courier New" w:hAnsi="Courier New"/>
                <w:sz w:val="16"/>
              </w:rPr>
              <w:t>dds &lt;- DESeqDataSetFromMatrix(countData, colData,\\ design = side_class * geno_class);\\ dds &lt;- DESeq(dds)</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bend-point script</w:t>
            </w:r>
          </w:p>
        </w:tc>
        <w:tc>
          <w:tcPr>
            <w:tcW w:type="dxa" w:w="3120"/>
            <w:vAlign w:val="center"/>
            <w:shd w:fill="F5F6F7"/>
          </w:tcPr>
          <w:p>
            <w:pPr>
              <w:spacing w:line="240" w:lineRule="auto"/>
            </w:pPr>
            <w:r/>
            <w:r>
              <w:rPr>
                <w:rFonts w:ascii="Courier New" w:hAnsi="Courier New"/>
                <w:sz w:val="16"/>
              </w:rPr>
              <w:t>python3 run_bendpoint_followup.py\\ --contrast ipsi_vs_contra_in_ff\\ --padj-column padj</w:t>
            </w:r>
          </w:p>
        </w:tc>
      </w:tr>
      <w:tr>
        <w:tc>
          <w:tcPr>
            <w:tcW w:type="dxa" w:w="3120"/>
            <w:vAlign w:val="center"/>
            <w:shd w:fill="E4DFEC"/>
          </w:tcPr>
          <w:p>
            <w:pPr>
              <w:spacing w:line="240" w:lineRule="auto"/>
            </w:pPr>
            <w:r/>
            <w:r>
              <w:rPr>
                <w:rFonts w:ascii="Times New Roman" w:hAnsi="Times New Roman"/>
                <w:b/>
                <w:sz w:val="18"/>
              </w:rPr>
              <w:t>Analysis</w:t>
            </w:r>
          </w:p>
        </w:tc>
        <w:tc>
          <w:tcPr>
            <w:tcW w:type="dxa" w:w="3120"/>
            <w:vAlign w:val="center"/>
            <w:shd w:fill="E4DFEC"/>
          </w:tcPr>
          <w:p>
            <w:pPr>
              <w:spacing w:line="240" w:lineRule="auto"/>
            </w:pPr>
            <w:r/>
            <w:r>
              <w:rPr>
                <w:rFonts w:ascii="Times New Roman" w:hAnsi="Times New Roman"/>
                <w:sz w:val="18"/>
              </w:rPr>
              <w:t>g:Profiler</w:t>
            </w:r>
          </w:p>
        </w:tc>
        <w:tc>
          <w:tcPr>
            <w:tcW w:type="dxa" w:w="3120"/>
            <w:vAlign w:val="center"/>
            <w:shd w:fill="F5F6F7"/>
          </w:tcPr>
          <w:p>
            <w:pPr>
              <w:spacing w:line="240" w:lineRule="auto"/>
            </w:pPr>
            <w:r/>
            <w:r>
              <w:rPr>
                <w:rFonts w:ascii="Courier New" w:hAnsi="Courier New"/>
                <w:sz w:val="16"/>
              </w:rPr>
              <w:t>gp.profile(organism = "mmusculus",\\ query = selected_genes,\\ sources = c("GO:BP","KEGG","REAC"))</w:t>
            </w:r>
          </w:p>
        </w:tc>
      </w:tr>
    </w:tbl>
    <w:p/>
    <w:p>
      <w:pPr>
        <w:spacing w:line="480" w:lineRule="auto" w:after="120"/>
        <w:shd w:fill="F4CCCC"/>
      </w:pPr>
      <w:r>
        <w:rPr>
          <w:rFonts w:ascii="Times New Roman" w:hAnsi="Times New Roman"/>
          <w:b w:val="0"/>
          <w:sz w:val="24"/>
        </w:rPr>
        <w:t>Data Collection: SRA acquisition and sample organization. Public runs were retrieved with project wrappers around prefetch and fasterq-dump, and the local workflow retained 20 paired-end NovaSeq X libraries from the 1-day-post-injury DRG subset. After download, metadata were consolidated into a design-aware sample table with side_class (ipsilateral or contralateral), geno_class (WT or cKO), and derived condition-family labels. This preserved a balanced 2 2 design and created a reusable manifest for downstream notebooks (NCBI, 2026; NCBI SRA, 2026; NCBI BioProject, 2026; NCBI GEO, 2026).</w:t>
      </w:r>
    </w:p>
    <w:p>
      <w:pPr>
        <w:spacing w:line="480" w:lineRule="auto" w:after="120"/>
        <w:shd w:fill="F4CCCC"/>
      </w:pPr>
      <w:r>
        <w:rPr>
          <w:rFonts w:ascii="Times New Roman" w:hAnsi="Times New Roman"/>
          <w:b w:val="0"/>
          <w:sz w:val="24"/>
        </w:rPr>
        <w:t>Data Cleaning: quality control and read trimming. Raw read quality was evaluated with FastQC, and cohort-level summaries were consolidated with MultiQC (Andrews, 2010; Ewels et al., 2016). The local workflow used fastp v0.23.2 as the canonical cleanup tool because it provided a reproducible paired-end workflow, generated per-sample reports, and reduced adapter-related signal more effectively than the earlier baseline (Chen et al., 2018). The retained configuration used paired-end adapter detection, poly-G trimming, a mean-quality cutoff of 20, a minimum retained length of 30 bases, and per-sample HTML/JSON reporting.</w:t>
      </w:r>
    </w:p>
    <w:p>
      <w:pPr>
        <w:spacing w:line="480" w:lineRule="auto" w:after="120"/>
        <w:shd w:fill="F4CCCC"/>
      </w:pPr>
      <w:r>
        <w:rPr>
          <w:rFonts w:ascii="Times New Roman" w:hAnsi="Times New Roman"/>
          <w:b w:val="0"/>
          <w:sz w:val="24"/>
        </w:rPr>
        <w:t>Data Preparation: reference selection and alignment. Trimmed read pairs were aligned to the Mus musculus GRCm39 primary assembly with the matching Ensembl release 115 annotation (Ensembl, 2025). The reference pair used in the local workflow consisted of Mus_musculus.GRCm39.dna.primary_assembly.fa and Mus_musculus.GRCm39.115.gtf. A STAR genome index was generated with sjdbOverhang = 150 to match the 151-bp paired-end reads, and alignment was performed with gzip-aware input handling, coordinate-sorted BAM output, and GeneCounts (Dobin et al., 2013).</w:t>
      </w:r>
    </w:p>
    <w:p>
      <w:pPr>
        <w:spacing w:line="480" w:lineRule="auto" w:after="120"/>
        <w:shd w:fill="F4CCCC"/>
      </w:pPr>
      <w:r>
        <w:rPr>
          <w:rFonts w:ascii="Times New Roman" w:hAnsi="Times New Roman"/>
          <w:b w:val="0"/>
          <w:sz w:val="24"/>
        </w:rPr>
        <w:t>Data Analysis and Interpretation: differential expression and functional analysis. The merged family count matrix was analyzed with DESeq2 using an interaction design formula (~ side_class * geno_class) so the effect of side could differ by genotype while all five contrast branches were extracted from a single fitted model (Love et al., 2014). Low-support genes were filtered before modeling, reducing the tested set from 78,334 to 21,481 genes while retaining all 20 DRG samples. Five contrasts were then evaluated: ipsilateral vs contralateral in WT, ipsilateral vs contralateral in cKO, WT vs cKO in contralateral, WT vs cKO in ipsilateral, and interaction.</w:t>
      </w:r>
    </w:p>
    <w:p>
      <w:pPr>
        <w:spacing w:line="480" w:lineRule="auto" w:after="120"/>
        <w:shd w:fill="F4CCCC"/>
      </w:pPr>
      <w:r>
        <w:rPr>
          <w:rFonts w:ascii="Times New Roman" w:hAnsi="Times New Roman"/>
          <w:b w:val="0"/>
          <w:sz w:val="24"/>
        </w:rPr>
        <w:t>Downstream interpretation followed a PCA-first, branch-priority logic. PCA was used to evaluate sample structure before long differential expression tables were emphasized, and the side-specific branches were then carried forward as the primary follow-up path. To avoid reducing very large DE outputs to unstructured gene lists, the workflow applied a bend-point rule to the ordered adjusted-p-value curve for each contrast. The resulting follow-up sets were then submitted to g:Profiler using GO Biological Process, KEGG, and Reactome layers (Kolberg et al., 2020; Gene Ontology Consortium, 2021; Kanehisa et al., 2025; Gillespie et al., 2022).</w:t>
      </w:r>
    </w:p>
    <w:p>
      <w:r>
        <w:br w:type="page"/>
      </w:r>
    </w:p>
    <w:p>
      <w:pPr>
        <w:pStyle w:val="Heading1"/>
        <w:spacing w:line="480" w:lineRule="auto" w:before="0" w:after="160"/>
      </w:pPr>
      <w:r>
        <w:rPr>
          <w:rFonts w:ascii="Times New Roman" w:hAnsi="Times New Roman"/>
          <w:b/>
          <w:sz w:val="28"/>
        </w:rPr>
        <w:t>Results</w:t>
      </w:r>
    </w:p>
    <w:p>
      <w:pPr>
        <w:pStyle w:val="Heading2"/>
        <w:spacing w:line="480" w:lineRule="auto" w:before="0" w:after="160"/>
      </w:pPr>
      <w:r>
        <w:rPr>
          <w:rFonts w:ascii="Times New Roman" w:hAnsi="Times New Roman"/>
          <w:b/>
          <w:sz w:val="24"/>
        </w:rPr>
        <w:t>Quality Control and Trimming of RNASeq Data</w:t>
      </w:r>
    </w:p>
    <w:p>
      <w:pPr>
        <w:spacing w:before="0" w:after="0"/>
        <w:jc w:val="center"/>
      </w:pPr>
      <w:r>
        <w:drawing>
          <wp:inline xmlns:a="http://schemas.openxmlformats.org/drawingml/2006/main" xmlns:pic="http://schemas.openxmlformats.org/drawingml/2006/picture">
            <wp:extent cx="5852160" cy="4776013"/>
            <wp:docPr id="2" name="Picture 2"/>
            <wp:cNvGraphicFramePr>
              <a:graphicFrameLocks noChangeAspect="1"/>
            </wp:cNvGraphicFramePr>
            <a:graphic>
              <a:graphicData uri="http://schemas.openxmlformats.org/drawingml/2006/picture">
                <pic:pic>
                  <pic:nvPicPr>
                    <pic:cNvPr id="0" name="qc_adapter_pre_post.png"/>
                    <pic:cNvPicPr/>
                  </pic:nvPicPr>
                  <pic:blipFill>
                    <a:blip r:embed="rId10"/>
                    <a:stretch>
                      <a:fillRect/>
                    </a:stretch>
                  </pic:blipFill>
                  <pic:spPr>
                    <a:xfrm>
                      <a:off x="0" y="0"/>
                      <a:ext cx="5852160" cy="4776013"/>
                    </a:xfrm>
                    <a:prstGeom prst="rect"/>
                  </pic:spPr>
                </pic:pic>
              </a:graphicData>
            </a:graphic>
          </wp:inline>
        </w:drawing>
      </w:r>
    </w:p>
    <w:p>
      <w:pPr>
        <w:spacing w:line="240" w:lineRule="auto" w:before="0" w:after="80"/>
        <w:jc w:val="center"/>
      </w:pPr>
      <w:r>
        <w:rPr>
          <w:rFonts w:ascii="Times New Roman" w:hAnsi="Times New Roman"/>
          <w:b/>
          <w:sz w:val="20"/>
        </w:rPr>
        <w:t xml:space="preserve">Figure 2. </w:t>
      </w:r>
      <w:r>
        <w:rPr>
          <w:rFonts w:ascii="Times New Roman" w:hAnsi="Times New Roman"/>
          <w:sz w:val="20"/>
        </w:rPr>
        <w:t>Adapter content present in the RNA-seq samples before trimming (A) and after trimming (B). The pre-trim panel shows strong adapter-associated signal near the read end, whereas the post-trim panel shows that this signal was largely removed.</w:t>
      </w:r>
    </w:p>
    <w:p>
      <w:pPr>
        <w:spacing w:line="480" w:lineRule="auto" w:after="120"/>
        <w:shd w:fill="D9D2E9"/>
      </w:pPr>
      <w:r>
        <w:rPr>
          <w:rFonts w:ascii="Times New Roman" w:hAnsi="Times New Roman"/>
          <w:b w:val="0"/>
          <w:sz w:val="24"/>
        </w:rPr>
        <w:t>Before downstream analysis, the raw dataset was evaluated to identify the main quality issues present in the reads. MultiQC provided a cohort-level view of those problems and showed substantial adapter content in the raw data, with roughly 45% of sequences carrying adapter-associated signal near the 140-bp region. Although some adapter signal is expected after RNA-seq library preparation, the size and consistency of this pattern justified an explicit trimming step before alignment.</w:t>
      </w:r>
    </w:p>
    <w:p>
      <w:pPr>
        <w:spacing w:line="480" w:lineRule="auto" w:after="120"/>
        <w:shd w:fill="D9D2E9"/>
      </w:pPr>
      <w:r>
        <w:rPr>
          <w:rFonts w:ascii="Times New Roman" w:hAnsi="Times New Roman"/>
          <w:b w:val="0"/>
          <w:sz w:val="24"/>
        </w:rPr>
        <w:t>After trimming, the adapter-associated signal dropped to below 1% across the retained cohort. This improvement showed that trimming successfully removed the dominant QC problem and produced a cleaner dataset for downstream analysis. The pre- and post-trim comparison therefore supports the use of the cleaned reads for alignment and later differential expression modeling.</w:t>
      </w:r>
    </w:p>
    <w:tbl>
      <w:tblPr>
        <w:tblW w:type="auto" w:w="0"/>
        <w:jc w:val="center"/>
        <w:tblLook w:firstColumn="1" w:firstRow="1" w:lastColumn="0" w:lastRow="0" w:noHBand="0" w:noVBand="1" w:val="04A0"/>
      </w:tblPr>
      <w:tblGrid>
        <w:gridCol w:w="4680"/>
        <w:gridCol w:w="4680"/>
      </w:tblGrid>
      <w:tr>
        <w:tc>
          <w:tcPr>
            <w:tcW w:type="dxa" w:w="4680"/>
          </w:tcPr>
          <w:p>
            <w:pPr>
              <w:spacing w:before="0" w:after="0"/>
              <w:jc w:val="center"/>
            </w:pPr>
            <w:r>
              <w:drawing>
                <wp:inline xmlns:a="http://schemas.openxmlformats.org/drawingml/2006/main" xmlns:pic="http://schemas.openxmlformats.org/drawingml/2006/picture">
                  <wp:extent cx="2743200" cy="1620012"/>
                  <wp:docPr id="3" name="Picture 3"/>
                  <wp:cNvGraphicFramePr>
                    <a:graphicFrameLocks noChangeAspect="1"/>
                  </wp:cNvGraphicFramePr>
                  <a:graphic>
                    <a:graphicData uri="http://schemas.openxmlformats.org/drawingml/2006/picture">
                      <pic:pic>
                        <pic:nvPicPr>
                          <pic:cNvPr id="0" name="alignment_unique_mapping_bar.png"/>
                          <pic:cNvPicPr/>
                        </pic:nvPicPr>
                        <pic:blipFill>
                          <a:blip r:embed="rId11"/>
                          <a:stretch>
                            <a:fillRect/>
                          </a:stretch>
                        </pic:blipFill>
                        <pic:spPr>
                          <a:xfrm>
                            <a:off x="0" y="0"/>
                            <a:ext cx="2743200" cy="1620012"/>
                          </a:xfrm>
                          <a:prstGeom prst="rect"/>
                        </pic:spPr>
                      </pic:pic>
                    </a:graphicData>
                  </a:graphic>
                </wp:inline>
              </w:drawing>
            </w:r>
          </w:p>
        </w:tc>
        <w:tc>
          <w:tcPr>
            <w:tcW w:type="dxa" w:w="4680"/>
          </w:tcPr>
          <w:p>
            <w:pPr>
              <w:spacing w:before="0" w:after="0"/>
              <w:jc w:val="center"/>
            </w:pPr>
            <w:r>
              <w:drawing>
                <wp:inline xmlns:a="http://schemas.openxmlformats.org/drawingml/2006/main" xmlns:pic="http://schemas.openxmlformats.org/drawingml/2006/picture">
                  <wp:extent cx="2743200" cy="1997964"/>
                  <wp:docPr id="4" name="Picture 4"/>
                  <wp:cNvGraphicFramePr>
                    <a:graphicFrameLocks noChangeAspect="1"/>
                  </wp:cNvGraphicFramePr>
                  <a:graphic>
                    <a:graphicData uri="http://schemas.openxmlformats.org/drawingml/2006/picture">
                      <pic:pic>
                        <pic:nvPicPr>
                          <pic:cNvPr id="0" name="alignment_unique_mapping_box.png"/>
                          <pic:cNvPicPr/>
                        </pic:nvPicPr>
                        <pic:blipFill>
                          <a:blip r:embed="rId12"/>
                          <a:stretch>
                            <a:fillRect/>
                          </a:stretch>
                        </pic:blipFill>
                        <pic:spPr>
                          <a:xfrm>
                            <a:off x="0" y="0"/>
                            <a:ext cx="2743200" cy="1997964"/>
                          </a:xfrm>
                          <a:prstGeom prst="rect"/>
                        </pic:spPr>
                      </pic:pic>
                    </a:graphicData>
                  </a:graphic>
                </wp:inline>
              </w:drawing>
            </w:r>
          </w:p>
        </w:tc>
      </w:tr>
    </w:tbl>
    <w:p>
      <w:pPr>
        <w:spacing w:line="240" w:lineRule="auto" w:before="0" w:after="80"/>
        <w:jc w:val="center"/>
      </w:pPr>
      <w:r>
        <w:rPr>
          <w:rFonts w:ascii="Times New Roman" w:hAnsi="Times New Roman"/>
          <w:b/>
          <w:sz w:val="20"/>
        </w:rPr>
        <w:t xml:space="preserve">Figure 3. </w:t>
      </w:r>
      <w:r>
        <w:rPr>
          <w:rFonts w:ascii="Times New Roman" w:hAnsi="Times New Roman"/>
          <w:sz w:val="20"/>
        </w:rPr>
        <w:t>Alignment statistics after mapping the trimmed reads to the GRCm39 Mus musculus</w:t>
      </w:r>
    </w:p>
    <w:p>
      <w:pPr>
        <w:spacing w:line="480" w:lineRule="auto" w:after="120"/>
        <w:shd w:fill="D9D2E9"/>
      </w:pPr>
      <w:r>
        <w:rPr>
          <w:rFonts w:ascii="Times New Roman" w:hAnsi="Times New Roman"/>
          <w:b w:val="0"/>
          <w:sz w:val="24"/>
        </w:rPr>
        <w:t>Alignment of the trimmed reads to the GRCm39 reference genome produced consistently high mapping performance. Every sample exceeded 90% uniquely mapped reads, with a median unique-mapping rate of 93.24% and an interquartile range of 93.10--93.42%. The lowest observed value was just below 92.6%, but it remained within a high-quality alignment range relative to the rest of the cohort. These alignment metrics provided sufficient confidence to proceed with differential expression analysis.</w:t>
      </w:r>
    </w:p>
    <w:p>
      <w:pPr>
        <w:spacing w:line="480" w:lineRule="auto" w:after="120"/>
        <w:shd w:fill="F4CCCC"/>
      </w:pPr>
      <w:r>
        <w:rPr>
          <w:rFonts w:ascii="Times New Roman" w:hAnsi="Times New Roman"/>
          <w:b w:val="0"/>
          <w:sz w:val="24"/>
        </w:rPr>
        <w:t>Together, the QC and alignment checkpoints show that the retained 20-sample subset was technically stable enough for downstream modeling. With the preprocessing concerns resolved, the next question became whether the biological structure of the dataset was driven more strongly by injury side or by genotype.</w:t>
      </w:r>
    </w:p>
    <w:p>
      <w:pPr>
        <w:pStyle w:val="Heading2"/>
        <w:spacing w:line="480" w:lineRule="auto" w:before="0" w:after="160"/>
      </w:pPr>
      <w:r>
        <w:rPr>
          <w:rFonts w:ascii="Times New Roman" w:hAnsi="Times New Roman"/>
          <w:b/>
          <w:sz w:val="24"/>
        </w:rPr>
        <w:t>Differential Expression Analysis</w:t>
      </w:r>
    </w:p>
    <w:p>
      <w:pPr>
        <w:spacing w:before="0" w:after="0"/>
        <w:jc w:val="center"/>
      </w:pPr>
      <w:r>
        <w:drawing>
          <wp:inline xmlns:a="http://schemas.openxmlformats.org/drawingml/2006/main" xmlns:pic="http://schemas.openxmlformats.org/drawingml/2006/picture">
            <wp:extent cx="5486400" cy="3816095"/>
            <wp:docPr id="5" name="Picture 5"/>
            <wp:cNvGraphicFramePr>
              <a:graphicFrameLocks noChangeAspect="1"/>
            </wp:cNvGraphicFramePr>
            <a:graphic>
              <a:graphicData uri="http://schemas.openxmlformats.org/drawingml/2006/picture">
                <pic:pic>
                  <pic:nvPicPr>
                    <pic:cNvPr id="0" name="results_pca.png"/>
                    <pic:cNvPicPr/>
                  </pic:nvPicPr>
                  <pic:blipFill>
                    <a:blip r:embed="rId13"/>
                    <a:stretch>
                      <a:fillRect/>
                    </a:stretch>
                  </pic:blipFill>
                  <pic:spPr>
                    <a:xfrm>
                      <a:off x="0" y="0"/>
                      <a:ext cx="5486400" cy="3816095"/>
                    </a:xfrm>
                    <a:prstGeom prst="rect"/>
                  </pic:spPr>
                </pic:pic>
              </a:graphicData>
            </a:graphic>
          </wp:inline>
        </w:drawing>
      </w:r>
    </w:p>
    <w:p>
      <w:pPr>
        <w:spacing w:line="240" w:lineRule="auto" w:before="0" w:after="80"/>
        <w:jc w:val="center"/>
      </w:pPr>
      <w:r>
        <w:rPr>
          <w:rFonts w:ascii="Times New Roman" w:hAnsi="Times New Roman"/>
          <w:b/>
          <w:sz w:val="20"/>
        </w:rPr>
        <w:t xml:space="preserve">Figure 4. </w:t>
      </w:r>
      <w:r>
        <w:rPr>
          <w:rFonts w:ascii="Times New Roman" w:hAnsi="Times New Roman"/>
          <w:sz w:val="20"/>
        </w:rPr>
        <w:t>Principal Component Analysis (PCA) of DRG transcriptomes. Samples are plotted along the first two principal components, which capture 46.2% and 20.6% of the variance, respectively. Shapes represent injury side and colors represent genotype.</w:t>
      </w:r>
    </w:p>
    <w:p>
      <w:pPr>
        <w:spacing w:line="480" w:lineRule="auto" w:after="120"/>
        <w:shd w:fill="B6D7A8"/>
      </w:pPr>
      <w:r>
        <w:rPr>
          <w:rFonts w:ascii="Times New Roman" w:hAnsi="Times New Roman"/>
          <w:b w:val="0"/>
          <w:sz w:val="24"/>
        </w:rPr>
        <w:t>PCA was used to reduce the dimensionality of the dataset, which contained approximately 21,000 modeled genes across 20 mouse samples. The first two principal components captured 66.8% of the variance. Samples separated more clearly by injury side (ipsilateral vs contralateral) than by genotype, with PC1 carrying the dominant side-associated structure and genotype contributing a weaker secondary pattern.</w:t>
      </w:r>
    </w:p>
    <w:p>
      <w:pPr>
        <w:spacing w:before="0" w:after="0"/>
        <w:jc w:val="center"/>
      </w:pPr>
      <w:r>
        <w:drawing>
          <wp:inline xmlns:a="http://schemas.openxmlformats.org/drawingml/2006/main" xmlns:pic="http://schemas.openxmlformats.org/drawingml/2006/picture">
            <wp:extent cx="5486400" cy="4514088"/>
            <wp:docPr id="6" name="Picture 6"/>
            <wp:cNvGraphicFramePr>
              <a:graphicFrameLocks noChangeAspect="1"/>
            </wp:cNvGraphicFramePr>
            <a:graphic>
              <a:graphicData uri="http://schemas.openxmlformats.org/drawingml/2006/picture">
                <pic:pic>
                  <pic:nvPicPr>
                    <pic:cNvPr id="0" name="results_sample_distance_heatmap.png"/>
                    <pic:cNvPicPr/>
                  </pic:nvPicPr>
                  <pic:blipFill>
                    <a:blip r:embed="rId14"/>
                    <a:stretch>
                      <a:fillRect/>
                    </a:stretch>
                  </pic:blipFill>
                  <pic:spPr>
                    <a:xfrm>
                      <a:off x="0" y="0"/>
                      <a:ext cx="5486400" cy="4514088"/>
                    </a:xfrm>
                    <a:prstGeom prst="rect"/>
                  </pic:spPr>
                </pic:pic>
              </a:graphicData>
            </a:graphic>
          </wp:inline>
        </w:drawing>
      </w:r>
    </w:p>
    <w:p>
      <w:pPr>
        <w:spacing w:line="240" w:lineRule="auto" w:before="0" w:after="80"/>
        <w:jc w:val="center"/>
      </w:pPr>
      <w:r>
        <w:rPr>
          <w:rFonts w:ascii="Times New Roman" w:hAnsi="Times New Roman"/>
          <w:b/>
          <w:sz w:val="20"/>
        </w:rPr>
        <w:t xml:space="preserve">Figure 5. </w:t>
      </w:r>
      <w:r>
        <w:rPr>
          <w:rFonts w:ascii="Times New Roman" w:hAnsi="Times New Roman"/>
          <w:sz w:val="20"/>
        </w:rPr>
        <w:t>Sample-to-sample distance heatmap of DRG transcriptomes. Euclidean distances were calculated from regularized log-transformed counts. Darker blue indicates higher similarity, and lighter blue indicates lower similarity.</w:t>
      </w:r>
    </w:p>
    <w:p>
      <w:pPr>
        <w:spacing w:line="480" w:lineRule="auto" w:after="120"/>
        <w:shd w:fill="B6D7A8"/>
      </w:pPr>
      <w:r>
        <w:rPr>
          <w:rFonts w:ascii="Times New Roman" w:hAnsi="Times New Roman"/>
          <w:b w:val="0"/>
          <w:sz w:val="24"/>
        </w:rPr>
        <w:t>The sample-to-sample distance heatmap supported the same overall interpretation. Samples clustered primarily by injury side, with ipsilateral and contralateral samples forming the clearest separation in the matrix. Genotype still contributed structure within those broader groups, but it did not override the side-based organization. The agreement between the PCA and distance heatmap made side-specific contrasts the most defensible main path for follow-up analysis.</w:t>
      </w:r>
    </w:p>
    <w:p>
      <w:pPr>
        <w:spacing w:before="0" w:after="0"/>
        <w:jc w:val="center"/>
      </w:pPr>
      <w:r>
        <w:drawing>
          <wp:inline xmlns:a="http://schemas.openxmlformats.org/drawingml/2006/main" xmlns:pic="http://schemas.openxmlformats.org/drawingml/2006/picture">
            <wp:extent cx="5852160" cy="2331110"/>
            <wp:docPr id="7" name="Picture 7"/>
            <wp:cNvGraphicFramePr>
              <a:graphicFrameLocks noChangeAspect="1"/>
            </wp:cNvGraphicFramePr>
            <a:graphic>
              <a:graphicData uri="http://schemas.openxmlformats.org/drawingml/2006/picture">
                <pic:pic>
                  <pic:nvPicPr>
                    <pic:cNvPr id="0" name="results_bendpoint_volcano.png"/>
                    <pic:cNvPicPr/>
                  </pic:nvPicPr>
                  <pic:blipFill>
                    <a:blip r:embed="rId15"/>
                    <a:stretch>
                      <a:fillRect/>
                    </a:stretch>
                  </pic:blipFill>
                  <pic:spPr>
                    <a:xfrm>
                      <a:off x="0" y="0"/>
                      <a:ext cx="5852160" cy="2331110"/>
                    </a:xfrm>
                    <a:prstGeom prst="rect"/>
                  </pic:spPr>
                </pic:pic>
              </a:graphicData>
            </a:graphic>
          </wp:inline>
        </w:drawing>
      </w:r>
    </w:p>
    <w:p>
      <w:pPr>
        <w:spacing w:line="240" w:lineRule="auto" w:before="0" w:after="80"/>
        <w:jc w:val="center"/>
      </w:pPr>
      <w:r>
        <w:rPr>
          <w:rFonts w:ascii="Times New Roman" w:hAnsi="Times New Roman"/>
          <w:b/>
          <w:sz w:val="20"/>
        </w:rPr>
        <w:t xml:space="preserve">Figure 6. </w:t>
      </w:r>
      <w:r>
        <w:rPr>
          <w:rFonts w:ascii="Times New Roman" w:hAnsi="Times New Roman"/>
          <w:sz w:val="20"/>
        </w:rPr>
        <w:t>Comparison of volcano plots for the ipsi_vs_contra_in_ff</w:t>
      </w:r>
    </w:p>
    <w:p>
      <w:pPr>
        <w:spacing w:line="480" w:lineRule="auto" w:after="120"/>
        <w:shd w:fill="D9D2E9"/>
      </w:pPr>
      <w:r>
        <w:rPr>
          <w:rFonts w:ascii="Times New Roman" w:hAnsi="Times New Roman"/>
          <w:b w:val="0"/>
          <w:sz w:val="24"/>
        </w:rPr>
        <w:t>Because the side-specific contrasts produced very large sets of significant genes, a bend-point rule was used to reduce those outputs to more interpretable follow-up sets. In the ipsi_vs_contra_in_ff branch, the bend point occurred at an adjusted-p-value threshold of 1.37 10^-17, reducing the broader significant set to 709 genes. This narrowed subset still captured strongly supported differential expression while removing much of the dense background that made the full result harder to interpret biologically.</w:t>
      </w:r>
    </w:p>
    <w:p>
      <w:pPr>
        <w:pStyle w:val="Heading2"/>
        <w:spacing w:line="480" w:lineRule="auto" w:before="0" w:after="160"/>
      </w:pPr>
      <w:r>
        <w:rPr>
          <w:rFonts w:ascii="Times New Roman" w:hAnsi="Times New Roman"/>
          <w:b/>
          <w:sz w:val="24"/>
        </w:rPr>
        <w:t>Gene Ontology Analysis</w:t>
      </w:r>
    </w:p>
    <w:p>
      <w:pPr>
        <w:spacing w:before="0" w:after="0"/>
        <w:jc w:val="center"/>
      </w:pPr>
      <w:r>
        <w:drawing>
          <wp:inline xmlns:a="http://schemas.openxmlformats.org/drawingml/2006/main" xmlns:pic="http://schemas.openxmlformats.org/drawingml/2006/picture">
            <wp:extent cx="5943600" cy="5943600"/>
            <wp:docPr id="8" name="Picture 8"/>
            <wp:cNvGraphicFramePr>
              <a:graphicFrameLocks noChangeAspect="1"/>
            </wp:cNvGraphicFramePr>
            <a:graphic>
              <a:graphicData uri="http://schemas.openxmlformats.org/drawingml/2006/picture">
                <pic:pic>
                  <pic:nvPicPr>
                    <pic:cNvPr id="0" name="results_go_composite.png"/>
                    <pic:cNvPicPr/>
                  </pic:nvPicPr>
                  <pic:blipFill>
                    <a:blip r:embed="rId16"/>
                    <a:stretch>
                      <a:fillRect/>
                    </a:stretch>
                  </pic:blipFill>
                  <pic:spPr>
                    <a:xfrm>
                      <a:off x="0" y="0"/>
                      <a:ext cx="5943600" cy="5943600"/>
                    </a:xfrm>
                    <a:prstGeom prst="rect"/>
                  </pic:spPr>
                </pic:pic>
              </a:graphicData>
            </a:graphic>
          </wp:inline>
        </w:drawing>
      </w:r>
    </w:p>
    <w:p>
      <w:pPr>
        <w:spacing w:line="240" w:lineRule="auto" w:before="0" w:after="80"/>
        <w:jc w:val="center"/>
      </w:pPr>
      <w:r>
        <w:rPr>
          <w:rFonts w:ascii="Times New Roman" w:hAnsi="Times New Roman"/>
          <w:b/>
          <w:sz w:val="20"/>
        </w:rPr>
        <w:t xml:space="preserve">Figure 7. </w:t>
      </w:r>
      <w:r>
        <w:rPr>
          <w:rFonts w:ascii="Times New Roman" w:hAnsi="Times New Roman"/>
          <w:sz w:val="20"/>
        </w:rPr>
        <w:t>Gene Ontology (GO) analysis of the 709-gene ipsi_vs_contra_in_ff</w:t>
      </w:r>
    </w:p>
    <w:p>
      <w:pPr>
        <w:spacing w:line="480" w:lineRule="auto" w:after="120"/>
        <w:shd w:fill="D9D2E9"/>
      </w:pPr>
      <w:r>
        <w:rPr>
          <w:rFonts w:ascii="Times New Roman" w:hAnsi="Times New Roman"/>
          <w:b w:val="0"/>
          <w:sz w:val="24"/>
        </w:rPr>
        <w:t>Gene Ontology analysis was used to connect the 709-gene follow-up set to broader biological processes. Among the three GO categories, Biological Process provided the clearest and most coherent signal. The top enriched terms repeatedly pointed toward signaling and regulation, response to stimulus, morphogenesis, and stress-related remodeling, and the accompanying network view showed that many of those terms were connected through overlapping gene membership rather than representing isolated pathway stories.</w:t>
      </w:r>
    </w:p>
    <w:p>
      <w:pPr>
        <w:spacing w:line="480" w:lineRule="auto" w:after="120"/>
        <w:shd w:fill="D9D2E9"/>
      </w:pPr>
      <w:r>
        <w:rPr>
          <w:rFonts w:ascii="Times New Roman" w:hAnsi="Times New Roman"/>
          <w:b w:val="0"/>
          <w:sz w:val="24"/>
        </w:rPr>
        <w:t>Cellular Component and Molecular Function results were more variable than Biological Process, but they still added context to the follow-up set. Cellular Component included more localized structural themes, while Molecular Function contained a smaller and less internally consistent set of enriched labels. Taken together, the GO results supported the view that the strongest FF branch signal was not just a list of highly significant genes, but a connected injury-response program that became easier to interpret after bend-point narrowing.</w:t>
      </w:r>
    </w:p>
    <w:p>
      <w:r>
        <w:br w:type="page"/>
      </w:r>
    </w:p>
    <w:p>
      <w:pPr>
        <w:pStyle w:val="Heading1"/>
        <w:spacing w:line="480" w:lineRule="auto" w:before="0" w:after="160"/>
      </w:pPr>
      <w:r>
        <w:rPr>
          <w:rFonts w:ascii="Times New Roman" w:hAnsi="Times New Roman"/>
          <w:b/>
          <w:sz w:val="28"/>
        </w:rPr>
        <w:t>Discussion</w:t>
      </w:r>
    </w:p>
    <w:p>
      <w:pPr>
        <w:spacing w:line="480" w:lineRule="auto" w:after="120"/>
        <w:shd w:fill="F4CCCC"/>
      </w:pPr>
      <w:r>
        <w:rPr>
          <w:rFonts w:ascii="Times New Roman" w:hAnsi="Times New Roman"/>
          <w:b w:val="0"/>
          <w:sz w:val="24"/>
        </w:rPr>
        <w:t>The most stable finding in this dataset was that the side-specific injury contrasts carried the strongest structure. The early QC and alignment checkpoints supported keeping this 20-sample DRG subset for downstream modeling, but the main interpretive shift came from the PCA-first review: side separated more clearly than genotype, while genotype behaved as a secondary axis with substantial overlap between paired WT and cKO samples. The PCA and sample-distance views pointed to the same conclusion, making the side-specific contrasts the most defensible primary path for interpretation.</w:t>
      </w:r>
    </w:p>
    <w:p>
      <w:pPr>
        <w:spacing w:line="480" w:lineRule="auto" w:after="120"/>
        <w:shd w:fill="F4CCCC"/>
      </w:pPr>
      <w:r>
        <w:rPr>
          <w:rFonts w:ascii="Times New Roman" w:hAnsi="Times New Roman"/>
          <w:b w:val="0"/>
          <w:sz w:val="24"/>
        </w:rPr>
        <w:t>This PCA-first reading disciplined the interpretation of the differential expression output. Rather than treating all modeled contrasts as equally informative, the workflow converged on a branch-priority logic in which ipsi_vs_contra_in_ff and ipsi_vs_contra_in_cre served as the main follow-up branches, while WT vs cKO in contralateral remained the strongest supporting genotype comparison. These secondary branches show that genotype effects are not absent, but they do not displace the side-specific injury signal as the dominant story.</w:t>
      </w:r>
    </w:p>
    <w:p>
      <w:pPr>
        <w:spacing w:line="480" w:lineRule="auto" w:after="120"/>
        <w:shd w:fill="F4CCCC"/>
      </w:pPr>
      <w:r>
        <w:rPr>
          <w:rFonts w:ascii="Times New Roman" w:hAnsi="Times New Roman"/>
          <w:b w:val="0"/>
          <w:sz w:val="24"/>
        </w:rPr>
        <w:t>The bend-point step marked the transition from broad differential expression output to a smaller and more interpretable follow-up set. For the two main side-specific contrasts, the ordered adjusted-p-value curve reduced 7,023 and 7,541 significant genes to 709 and 870 genes, respectively. These smaller sets remained strongly supported statistically while becoming practical for pathway-level analysis. In that sense, the bend-point step made the strongest part of the result easier to interpret against known injury and regeneration mechanisms.</w:t>
      </w:r>
    </w:p>
    <w:p>
      <w:pPr>
        <w:spacing w:line="480" w:lineRule="auto" w:after="120"/>
        <w:shd w:fill="F4CCCC"/>
      </w:pPr>
      <w:r>
        <w:rPr>
          <w:rFonts w:ascii="Times New Roman" w:hAnsi="Times New Roman"/>
          <w:b w:val="0"/>
          <w:sz w:val="24"/>
        </w:rPr>
        <w:t>Among the follow-up branches, ipsi_vs_contra_in_ff remained the clearest pathway-level result. It combined a strong side-driven separation, a large but reducible differential expression set, and the most coherent enrichment profile. Once shared-gene structure was examined through the chart, tree, and network views, the strongest upregulated terms converged around signaling, migration, morphogenesis, stress response, and neurogenic remodeling. That convergence made the WT branch the strongest biological centerpiece for the discussion and extended the original paper's candidate-gene logic into a broader transcriptomic context (Halawani et al., 2023).</w:t>
      </w:r>
    </w:p>
    <w:p>
      <w:pPr>
        <w:spacing w:line="480" w:lineRule="auto" w:after="120"/>
        <w:shd w:fill="F4CCCC"/>
      </w:pPr>
      <w:r>
        <w:rPr>
          <w:rFonts w:ascii="Times New Roman" w:hAnsi="Times New Roman"/>
          <w:b w:val="0"/>
          <w:sz w:val="24"/>
        </w:rPr>
        <w:t>These results still need to be read with caution. GO redundancy can make the functional signal look broader than it really is when overlapping labels are treated as independent findings, and the pathway summaries are persuasive only because they were interpreted after the PCA-first and bend-point-guided narrowing steps. Within those limits, however, the main discussion claim remains clear: this workflow converged on a robust side-specific injury-response program, and the WT branch provided the clearest pathway-level view of that response.</w:t>
      </w:r>
    </w:p>
    <w:p>
      <w:r>
        <w:br w:type="page"/>
      </w:r>
    </w:p>
    <w:p>
      <w:pPr>
        <w:pStyle w:val="Heading1"/>
        <w:spacing w:line="480" w:lineRule="auto" w:before="0" w:after="160"/>
      </w:pPr>
      <w:r>
        <w:rPr>
          <w:rFonts w:ascii="Times New Roman" w:hAnsi="Times New Roman"/>
          <w:b/>
          <w:sz w:val="28"/>
        </w:rPr>
        <w:t>References</w:t>
      </w:r>
    </w:p>
    <w:p>
      <w:pPr>
        <w:spacing w:line="480" w:lineRule="auto" w:after="120"/>
      </w:pPr>
      <w:r>
        <w:rPr>
          <w:rFonts w:ascii="Times New Roman" w:hAnsi="Times New Roman"/>
          <w:b w:val="0"/>
          <w:sz w:val="24"/>
        </w:rPr>
        <w:t>Andrews, S. (2010). FastQC: A quality control tool for high throughput sequence data.</w:t>
      </w:r>
    </w:p>
    <w:p>
      <w:pPr>
        <w:spacing w:line="480" w:lineRule="auto" w:after="120"/>
      </w:pPr>
      <w:r>
        <w:rPr>
          <w:rFonts w:ascii="Times New Roman" w:hAnsi="Times New Roman"/>
          <w:b w:val="0"/>
          <w:sz w:val="24"/>
        </w:rPr>
        <w:t>Chen, S., Zhou, Y., Chen, Y., &amp; Gu, J. (2018). fastp: An ultra-fast all-in-one FASTQ preprocessor. Bioinformatics, 34(17), i884-i890. https://doi.org/10.1093/bioinformatics/bty560</w:t>
      </w:r>
    </w:p>
    <w:p>
      <w:pPr>
        <w:spacing w:line="480" w:lineRule="auto" w:after="120"/>
      </w:pPr>
      <w:r>
        <w:rPr>
          <w:rFonts w:ascii="Times New Roman" w:hAnsi="Times New Roman"/>
          <w:b w:val="0"/>
          <w:sz w:val="24"/>
        </w:rPr>
        <w:t>Dobin, A., Davis, C. A., Schlesinger, F., Drenkow, J., Zaleski, C., Jha, S., Batut, P., Chaisson, M., &amp; Gingeras, T. R. (2013). STAR: Ultrafast universal RNA-seq aligner. Bioinformatics, 29(1), 15-21. https://doi.org/10.1093/bioinformatics/bts635</w:t>
      </w:r>
    </w:p>
    <w:p>
      <w:pPr>
        <w:spacing w:line="480" w:lineRule="auto" w:after="120"/>
      </w:pPr>
      <w:r>
        <w:rPr>
          <w:rFonts w:ascii="Times New Roman" w:hAnsi="Times New Roman"/>
          <w:b w:val="0"/>
          <w:sz w:val="24"/>
        </w:rPr>
        <w:t>Ewels, P., Magnusson, M., Lundin, S., &amp; Kaller, M. (2016). MultiQC: Summarize analysis results for multiple tools and samples in a single report. Bioinformatics, 32(19), 3047-3048. https://doi.org/10.1093/bioinformatics/btw354</w:t>
      </w:r>
    </w:p>
    <w:p>
      <w:pPr>
        <w:spacing w:line="480" w:lineRule="auto" w:after="120"/>
      </w:pPr>
      <w:r>
        <w:rPr>
          <w:rFonts w:ascii="Times New Roman" w:hAnsi="Times New Roman"/>
          <w:b w:val="0"/>
          <w:sz w:val="24"/>
        </w:rPr>
        <w:t>Gillespie, M., Jassal, B., Stephan, R., et al. (2022). The Reactome pathway knowledgebase 2022. Nucleic Acids Research, 50(D1), D687-D692. https://doi.org/10.1093/nar/gkab1028</w:t>
      </w:r>
    </w:p>
    <w:p>
      <w:pPr>
        <w:spacing w:line="480" w:lineRule="auto" w:after="120"/>
      </w:pPr>
      <w:r>
        <w:rPr>
          <w:rFonts w:ascii="Times New Roman" w:hAnsi="Times New Roman"/>
          <w:b w:val="0"/>
          <w:sz w:val="24"/>
        </w:rPr>
        <w:t>Halawani, D., Wang, Y., Li, J., et al. (2023). AhR restricts axon regeneration by balancing neuronal stress and growth response after injury. bioRxiv. https://doi.org/10.1101/2023.11.04.565649</w:t>
      </w:r>
    </w:p>
    <w:p>
      <w:pPr>
        <w:spacing w:line="480" w:lineRule="auto" w:after="120"/>
      </w:pPr>
      <w:r>
        <w:rPr>
          <w:rFonts w:ascii="Times New Roman" w:hAnsi="Times New Roman"/>
          <w:b w:val="0"/>
          <w:sz w:val="24"/>
        </w:rPr>
        <w:t>Kanehisa, M., Furumichi, M., Sato, Y., Kawashima, M., &amp; Ishiguro-Watanabe, M. (2025). KEGG for taxonomy-based analysis of pathways and genomes. Nucleic Acids Research, 53(D1), D545-D552. https://doi.org/10.1093/nar/gkae987</w:t>
      </w:r>
    </w:p>
    <w:p>
      <w:pPr>
        <w:spacing w:line="480" w:lineRule="auto" w:after="120"/>
      </w:pPr>
      <w:r>
        <w:rPr>
          <w:rFonts w:ascii="Times New Roman" w:hAnsi="Times New Roman"/>
          <w:b w:val="0"/>
          <w:sz w:val="24"/>
        </w:rPr>
        <w:t>Kolberg, L., Raudvere, U., Kuzmin, I., Vilo, J., &amp; Peterson, H. (2020). g:Profiler—Interoperable web service for functional enrichment analysis and gene identifier mapping (2021 update). Nucleic Acids Research, 48(W1), W191-W198. https://doi.org/10.1093/nar/gkaa427</w:t>
      </w:r>
    </w:p>
    <w:p>
      <w:pPr>
        <w:spacing w:line="480" w:lineRule="auto" w:after="120"/>
      </w:pPr>
      <w:r>
        <w:rPr>
          <w:rFonts w:ascii="Times New Roman" w:hAnsi="Times New Roman"/>
          <w:b w:val="0"/>
          <w:sz w:val="24"/>
        </w:rPr>
        <w:t>Love, M. I., Huber, W., &amp; Anders, S. (2014). Moderated estimation of fold change and dispersion for RNA-seq data with DESeq2. Genome Biology, 15(12), 550. https://doi.org/10.1186/s13059-014-0550-8</w:t>
      </w:r>
    </w:p>
    <w:p>
      <w:pPr>
        <w:spacing w:line="480" w:lineRule="auto" w:after="120"/>
      </w:pPr>
      <w:r>
        <w:rPr>
          <w:rFonts w:ascii="Times New Roman" w:hAnsi="Times New Roman"/>
          <w:b w:val="0"/>
          <w:sz w:val="24"/>
        </w:rPr>
        <w:t>National Center for Biotechnology Information. (2026). BioProject PRJNA1322439. https://www.ncbi.nlm.nih.gov/bioproject/PRJNA1322439</w:t>
      </w:r>
    </w:p>
    <w:p>
      <w:pPr>
        <w:spacing w:line="480" w:lineRule="auto" w:after="120"/>
      </w:pPr>
      <w:r>
        <w:rPr>
          <w:rFonts w:ascii="Times New Roman" w:hAnsi="Times New Roman"/>
          <w:b w:val="0"/>
          <w:sz w:val="24"/>
        </w:rPr>
        <w:t>National Center for Biotechnology Information. (2026). GEO series GSE243308. https://www.ncbi.nlm.nih.gov/geo/query/acc.cgi?acc=GSE243308</w:t>
      </w:r>
    </w:p>
    <w:p>
      <w:pPr>
        <w:spacing w:line="480" w:lineRule="auto" w:after="120"/>
      </w:pPr>
      <w:r>
        <w:rPr>
          <w:rFonts w:ascii="Times New Roman" w:hAnsi="Times New Roman"/>
          <w:b w:val="0"/>
          <w:sz w:val="24"/>
        </w:rPr>
        <w:t>National Center for Biotechnology Information. (2026). Sequence Read Archive study SRP618841. https://www.ncbi.nlm.nih.gov/Traces/study/?acc=SRP618841</w:t>
      </w:r>
    </w:p>
    <w:p>
      <w:pPr>
        <w:spacing w:line="480" w:lineRule="auto" w:after="120"/>
      </w:pPr>
      <w:r>
        <w:rPr>
          <w:rFonts w:ascii="Times New Roman" w:hAnsi="Times New Roman"/>
          <w:b w:val="0"/>
          <w:sz w:val="24"/>
        </w:rPr>
        <w:t>The Gene Ontology Consortium. (2021). The Gene Ontology resource: Enriching a GOLD mine. Nucleic Acids Research, 49(D1), D325-D334. https://doi.org/10.1093/nar/gkaa1113</w:t>
      </w:r>
    </w:p>
    <w:p>
      <w:pPr>
        <w:spacing w:line="480" w:lineRule="auto" w:after="120"/>
      </w:pPr>
      <w:r>
        <w:rPr>
          <w:rFonts w:ascii="Times New Roman" w:hAnsi="Times New Roman"/>
          <w:b w:val="0"/>
          <w:sz w:val="24"/>
        </w:rPr>
        <w:t>Wirth, R., &amp; Hipp, J. (2000). CRISP-DM: Towards a standard process model for data mining. In Proceedings of the 4th International Conference on the Practical Applications of Knowledge Discovery and Data Mining (pp. 29-39).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