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ntext_aware_routing_failures_in_c4ee14"/>
      <w:r>
        <w:rPr>
          <w:rFonts w:eastAsia="georgia" w:cs="georgia" w:ascii="georgia" w:hAnsi="georgia"/>
          <w:b/>
          <w:color w:val="000000"/>
          <w:sz w:val="39"/>
        </w:rPr>
        <w:t xml:space="preserve">Context-Aware Routing Failures in COVID-19: Test Allocation and Diagnostic Bias</w:t>
      </w:r>
      <w:bookmarkEnd w:id="0"/>
    </w:p>
    <w:p>
      <w:pPr>
        <w:spacing w:line="360" w:before="315" w:after="105" w:lineRule="auto"/>
        <w:ind w:left="-30"/>
        <w:jc w:val="left"/>
      </w:pPr>
      <w:bookmarkStart w:id="1" w:name="bm_1_introduction"/>
      <w:r>
        <w:rPr>
          <w:rFonts w:eastAsia="georgia" w:cs="georgia" w:ascii="georgia" w:hAnsi="georgia"/>
          <w:b/>
          <w:color w:val="000000"/>
          <w:sz w:val="24"/>
        </w:rPr>
        <w:t xml:space="preserve">1. Introduction</w:t>
      </w:r>
      <w:bookmarkEnd w:id="1"/>
    </w:p>
    <w:p>
      <w:pPr>
        <w:spacing w:line="360" w:after="210" w:lineRule="auto"/>
      </w:pPr>
      <w:r>
        <w:rPr>
          <w:rFonts w:eastAsia="georgia" w:cs="georgia" w:ascii="georgia" w:hAnsi="georgia"/>
          <w:color w:val="000000"/>
        </w:rPr>
        <w:t xml:space="preserve">The COVID-19 pandemic exposed structural weaknesses in how scarce clinical resources are routed under uncertainty, particularly when the </w:t>
      </w:r>
      <w:r>
        <w:rPr>
          <w:rFonts w:eastAsia="georgia" w:cs="georgia" w:ascii="georgia" w:hAnsi="georgia"/>
          <w:b/>
          <w:color w:val="000000"/>
        </w:rPr>
        <w:t xml:space="preserve">context</w:t>
      </w:r>
      <w:r>
        <w:rPr>
          <w:rFonts w:eastAsia="georgia" w:cs="georgia" w:ascii="georgia" w:hAnsi="georgia"/>
          <w:color w:val="000000"/>
        </w:rPr>
        <w:t xml:space="preserve"> needed for fair and efficient allocation is missing or distorted. This report analyzes two real-world cases that align directly with a contextual multi-armed bandit (CMAB) framing: (1) inequitable routing of COVID-19 tests and testing capacity across U.S. communities, and (2) racially biased performance of pulse oximeters used to triage and treat COVID-19 patients. In both cases, missing or mis-specified context leads to systematic under-service of high-risk minority groups and over-service of lower-risk groups, exactly the harm mechanism addressed by fairness-aware CMAB and EQUITAS-style mediation frameworks.[</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after="210" w:lineRule="auto"/>
      </w:pPr>
      <w:r>
        <w:rPr>
          <w:rFonts w:eastAsia="georgia" w:cs="georgia" w:ascii="georgia" w:hAnsi="georgia"/>
          <w:color w:val="000000"/>
        </w:rPr>
        <w:t xml:space="preserve">The goal of this report is to serve as the </w:t>
      </w:r>
      <w:r>
        <w:rPr>
          <w:rFonts w:eastAsia="georgia" w:cs="georgia" w:ascii="georgia" w:hAnsi="georgia"/>
          <w:b/>
          <w:color w:val="000000"/>
        </w:rPr>
        <w:t xml:space="preserve">standalone empirical backbone</w:t>
      </w:r>
      <w:r>
        <w:rPr>
          <w:rFonts w:eastAsia="georgia" w:cs="georgia" w:ascii="georgia" w:hAnsi="georgia"/>
          <w:color w:val="000000"/>
        </w:rPr>
        <w:t xml:space="preserve"> for a research project that builds and evaluates fairness-aware routing policies in a synthetic but data-grounded testbed. It documents the data, evidence, and logic that motivate two classes of interventions: (a) context-aware, fairness-constrained routing of tests across communities, and (b) diagnostic decision policies that explicitly account for group-dependent measurement error in pulse oximetry.</w:t>
      </w:r>
    </w:p>
    <w:p>
      <w:pPr>
        <w:spacing w:line="360" w:before="315" w:after="105" w:lineRule="auto"/>
        <w:ind w:left="-30"/>
        <w:jc w:val="left"/>
      </w:pPr>
      <w:bookmarkStart w:id="2" w:name="bm_2_case_1_inequitable_routing_o_ee5d75"/>
      <w:r>
        <w:rPr>
          <w:rFonts w:eastAsia="georgia" w:cs="georgia" w:ascii="georgia" w:hAnsi="georgia"/>
          <w:b/>
          <w:color w:val="000000"/>
          <w:sz w:val="24"/>
        </w:rPr>
        <w:t xml:space="preserve">2. Case 1 – Inequitable Routing of COVID-19 Tests</w:t>
      </w:r>
      <w:bookmarkEnd w:id="2"/>
    </w:p>
    <w:p>
      <w:pPr>
        <w:spacing w:line="360" w:before="315" w:after="105" w:lineRule="auto"/>
        <w:ind w:left="-30"/>
        <w:jc w:val="left"/>
      </w:pPr>
      <w:bookmarkStart w:id="3" w:name="bm_2_1_policy_problem_and_causal_d70f98"/>
      <w:r>
        <w:rPr>
          <w:rFonts w:eastAsia="georgia" w:cs="georgia" w:ascii="georgia" w:hAnsi="georgia"/>
          <w:b/>
          <w:color w:val="000000"/>
          <w:sz w:val="24"/>
        </w:rPr>
        <w:t xml:space="preserve">2.1 Policy problem and causal mechanism</w:t>
      </w:r>
      <w:bookmarkEnd w:id="3"/>
    </w:p>
    <w:p>
      <w:pPr>
        <w:spacing w:line="360" w:after="210" w:lineRule="auto"/>
      </w:pPr>
      <w:r>
        <w:rPr>
          <w:rFonts w:eastAsia="georgia" w:cs="georgia" w:ascii="georgia" w:hAnsi="georgia"/>
          <w:color w:val="000000"/>
        </w:rPr>
        <w:t xml:space="preserve">At the onset of the pandemic (March–June 2020), COVID-19 PCR testing capacity in the U.S. was extremely limited, forcing public health agencies and health systems to decide </w:t>
      </w:r>
      <w:r>
        <w:rPr>
          <w:rFonts w:eastAsia="georgia" w:cs="georgia" w:ascii="georgia" w:hAnsi="georgia"/>
          <w:b/>
          <w:color w:val="000000"/>
        </w:rPr>
        <w:t xml:space="preserve">where</w:t>
      </w:r>
      <w:r>
        <w:rPr>
          <w:rFonts w:eastAsia="georgia" w:cs="georgia" w:ascii="georgia" w:hAnsi="georgia"/>
          <w:color w:val="000000"/>
        </w:rPr>
        <w:t xml:space="preserve"> to place test sites and </w:t>
      </w:r>
      <w:r>
        <w:rPr>
          <w:rFonts w:eastAsia="georgia" w:cs="georgia" w:ascii="georgia" w:hAnsi="georgia"/>
          <w:b/>
          <w:color w:val="000000"/>
        </w:rPr>
        <w:t xml:space="preserve">which communities</w:t>
      </w:r>
      <w:r>
        <w:rPr>
          <w:rFonts w:eastAsia="georgia" w:cs="georgia" w:ascii="georgia" w:hAnsi="georgia"/>
          <w:color w:val="000000"/>
        </w:rPr>
        <w:t xml:space="preserve"> to prioritize. From a CMAB perspective, each community is an arm characterized by a context vector (demographics, exposure risk, social vulnerability, current case burden), and allocating tests to that arm yields rewards in the form of detected infections and averted downstream transmission and deaths. A rational, context-aware policy would allocate more capacity to communities with higher risk and greater burden.[</w:t>
      </w:r>
      <w:r>
        <w:rPr>
          <w:rFonts w:eastAsia="georgia" w:cs="georgia" w:ascii="georgia" w:hAnsi="georgia"/>
          <w:color w:val="000000"/>
          <w:vertAlign w:val="superscript"/>
        </w:rPr>
        <w:t xml:space="preserve">1][</w:t>
      </w:r>
      <w:r>
        <w:rPr>
          <w:rFonts w:eastAsia="georgia" w:cs="georgia" w:ascii="georgia" w:hAnsi="georgia"/>
          <w:color w:val="000000"/>
        </w:rPr>
        <w:t xml:space="preserve">2][^5]</w:t>
      </w:r>
    </w:p>
    <w:p>
      <w:pPr>
        <w:spacing w:line="360" w:after="210" w:lineRule="auto"/>
      </w:pPr>
      <w:r>
        <w:rPr>
          <w:rFonts w:eastAsia="georgia" w:cs="georgia" w:ascii="georgia" w:hAnsi="georgia"/>
          <w:color w:val="000000"/>
        </w:rPr>
        <w:t xml:space="preserve">However, multiple empirical analyses show that early test site placement and test access were not driven by vulnerability context, but by convenience, institutional proximity, and political influence, causing minority and high-risk communities to be under-tested relative to their burden. This mismatch between allocation and context is the core inefficiency studied in this case.[</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before="315" w:after="105" w:lineRule="auto"/>
        <w:ind w:left="-30"/>
        <w:jc w:val="left"/>
      </w:pPr>
      <w:bookmarkStart w:id="4" w:name="bm_2_2_data_sources"/>
      <w:r>
        <w:rPr>
          <w:rFonts w:eastAsia="georgia" w:cs="georgia" w:ascii="georgia" w:hAnsi="georgia"/>
          <w:b/>
          <w:color w:val="000000"/>
          <w:sz w:val="24"/>
        </w:rPr>
        <w:t xml:space="preserve">2.2 Data sources</w:t>
      </w:r>
      <w:bookmarkEnd w:id="4"/>
    </w:p>
    <w:p>
      <w:pPr>
        <w:spacing w:line="360" w:after="210" w:lineRule="auto"/>
      </w:pPr>
      <w:r>
        <w:rPr>
          <w:rFonts w:eastAsia="georgia" w:cs="georgia" w:ascii="georgia" w:hAnsi="georgia"/>
          <w:color w:val="000000"/>
        </w:rPr>
        <w:t xml:space="preserve">This case leverages three main sets of data:</w:t>
      </w:r>
    </w:p>
    <w:p>
      <w:pPr>
        <w:numPr>
          <w:ilvl w:val="0"/>
          <w:numId w:val="1"/>
        </w:numPr>
        <w:spacing w:line="360" w:before="105" w:after="105" w:lineRule="auto"/>
      </w:pPr>
      <w:r>
        <w:rPr>
          <w:rFonts w:eastAsia="georgia" w:cs="georgia" w:ascii="georgia" w:hAnsi="georgia"/>
          <w:b/>
          <w:color w:val="000000"/>
          <w:sz w:val="21"/>
        </w:rPr>
        <w:t xml:space="preserve">National test site distribution analysis</w:t>
      </w:r>
      <w:r>
        <w:rPr>
          <w:rFonts w:eastAsia="georgia" w:cs="georgia" w:ascii="georgia" w:hAnsi="georgia"/>
          <w:color w:val="000000"/>
          <w:sz w:val="21"/>
        </w:rPr>
        <w:t xml:space="preserve">: Rodriguez et al. (2020, Health Affairs) analyze 7,392 COVID-19 testing sites in May 2020, comparing the demographic profile of ZIP codes with testing sites against a simulated random placement of the same number of sites within the same counties.[^1]</w:t>
      </w:r>
    </w:p>
    <w:p>
      <w:pPr>
        <w:numPr>
          <w:ilvl w:val="0"/>
          <w:numId w:val="1"/>
        </w:numPr>
        <w:spacing w:line="360" w:before="105" w:after="105" w:lineRule="auto"/>
      </w:pPr>
      <w:r>
        <w:rPr>
          <w:rFonts w:eastAsia="georgia" w:cs="georgia" w:ascii="georgia" w:hAnsi="georgia"/>
          <w:b/>
          <w:color w:val="000000"/>
          <w:sz w:val="21"/>
        </w:rPr>
        <w:t xml:space="preserve">State-level inequity case studies</w:t>
      </w:r>
      <w:r>
        <w:rPr>
          <w:rFonts w:eastAsia="georgia" w:cs="georgia" w:ascii="georgia" w:hAnsi="georgia"/>
          <w:color w:val="000000"/>
          <w:sz w:val="21"/>
        </w:rPr>
        <w:t xml:space="preserve">: A Massachusetts multi-city assessment (CDC/State reports and MMWR) documents how high-burden cities like Chelsea and Lawrence (predominantly Hispanic, low-income) had extremely high positivity rates with much lower tests per capita than neighboring affluent, predominantly White towns.[^2]</w:t>
      </w:r>
    </w:p>
    <w:p>
      <w:pPr>
        <w:numPr>
          <w:ilvl w:val="0"/>
          <w:numId w:val="1"/>
        </w:numPr>
        <w:spacing w:line="360" w:before="105" w:after="105" w:lineRule="auto"/>
      </w:pPr>
      <w:r>
        <w:rPr>
          <w:rFonts w:eastAsia="georgia" w:cs="georgia" w:ascii="georgia" w:hAnsi="georgia"/>
          <w:b/>
          <w:color w:val="000000"/>
          <w:sz w:val="21"/>
        </w:rPr>
        <w:t xml:space="preserve">CDC racial/ethnic hospitalization and mortality data</w:t>
      </w:r>
      <w:r>
        <w:rPr>
          <w:rFonts w:eastAsia="georgia" w:cs="georgia" w:ascii="georgia" w:hAnsi="georgia"/>
          <w:color w:val="000000"/>
          <w:sz w:val="21"/>
        </w:rPr>
        <w:t xml:space="preserve">: June 2020 CDC surveillance summaries provide age-adjusted COVID-19 hospitalization and death rates by race and ethnicity, establishing which groups bore the greatest burden of severe disease.[^6]</w:t>
      </w:r>
    </w:p>
    <w:p>
      <w:pPr>
        <w:spacing w:line="360" w:after="210" w:lineRule="auto"/>
      </w:pPr>
      <w:r>
        <w:rPr>
          <w:rFonts w:eastAsia="georgia" w:cs="georgia" w:ascii="georgia" w:hAnsi="georgia"/>
          <w:color w:val="000000"/>
        </w:rPr>
        <w:t xml:space="preserve">Together, these sources quantify (a) where testing infrastructure was located, (b) which communities had the highest unmet testing need, and (c) the resulting disparities in severe outcomes.</w:t>
      </w:r>
    </w:p>
    <w:p>
      <w:pPr>
        <w:spacing w:line="360" w:before="315" w:after="105" w:lineRule="auto"/>
        <w:ind w:left="-30"/>
        <w:jc w:val="left"/>
      </w:pPr>
      <w:bookmarkStart w:id="5" w:name="bm_2_3_empirical_findings_under_s_9aeece"/>
      <w:r>
        <w:rPr>
          <w:rFonts w:eastAsia="georgia" w:cs="georgia" w:ascii="georgia" w:hAnsi="georgia"/>
          <w:b/>
          <w:color w:val="000000"/>
          <w:sz w:val="24"/>
        </w:rPr>
        <w:t xml:space="preserve">2.3 Empirical findings: under-served high-burden communities</w:t>
      </w:r>
      <w:bookmarkEnd w:id="5"/>
    </w:p>
    <w:p>
      <w:pPr>
        <w:spacing w:line="360" w:before="315" w:after="105" w:lineRule="auto"/>
        <w:ind w:left="-30"/>
        <w:jc w:val="left"/>
      </w:pPr>
      <w:bookmarkStart w:id="6" w:name="bm_2_3_1_underrepresentation_of_h_c4ce9f"/>
      <w:r>
        <w:rPr>
          <w:rFonts w:eastAsia="georgia" w:cs="georgia" w:ascii="georgia" w:hAnsi="georgia"/>
          <w:b/>
          <w:color w:val="000000"/>
          <w:sz w:val="24"/>
        </w:rPr>
        <w:t xml:space="preserve">2.3.1 Underrepresentation of Hispanic communities in testing ZIP codes</w:t>
      </w:r>
      <w:bookmarkEnd w:id="6"/>
    </w:p>
    <w:p>
      <w:pPr>
        <w:spacing w:line="360" w:after="210" w:lineRule="auto"/>
      </w:pPr>
      <w:r>
        <w:rPr>
          <w:rFonts w:eastAsia="georgia" w:cs="georgia" w:ascii="georgia" w:hAnsi="georgia"/>
          <w:color w:val="000000"/>
        </w:rPr>
        <w:t xml:space="preserve">Rodriguez et al. report that ZIP codes with COVID-19 testing sites on May 7, 2020 had a </w:t>
      </w:r>
      <w:r>
        <w:rPr>
          <w:rFonts w:eastAsia="georgia" w:cs="georgia" w:ascii="georgia" w:hAnsi="georgia"/>
          <w:b/>
          <w:color w:val="000000"/>
        </w:rPr>
        <w:t xml:space="preserve">lower percentage of Hispanic residents</w:t>
      </w:r>
      <w:r>
        <w:rPr>
          <w:rFonts w:eastAsia="georgia" w:cs="georgia" w:ascii="georgia" w:hAnsi="georgia"/>
          <w:color w:val="000000"/>
        </w:rPr>
        <w:t xml:space="preserve"> than would be expected if sites were randomly placed within counties, despite Hispanic communities having a disproportionate burden of infections and deaths. Key numerical findings include:[^1]</w:t>
      </w:r>
    </w:p>
    <w:p>
      <w:pPr>
        <w:numPr>
          <w:ilvl w:val="0"/>
          <w:numId w:val="2"/>
        </w:numPr>
        <w:spacing w:line="360" w:before="105" w:after="105" w:lineRule="auto"/>
      </w:pPr>
      <w:r>
        <w:rPr>
          <w:rFonts w:eastAsia="georgia" w:cs="georgia" w:ascii="georgia" w:hAnsi="georgia"/>
          <w:color w:val="000000"/>
          <w:sz w:val="21"/>
        </w:rPr>
        <w:t xml:space="preserve">Across all states studied, testing ZIP codes had an average of </w:t>
      </w:r>
      <w:r>
        <w:rPr>
          <w:rFonts w:eastAsia="georgia" w:cs="georgia" w:ascii="georgia" w:hAnsi="georgia"/>
          <w:b/>
          <w:color w:val="000000"/>
          <w:sz w:val="21"/>
        </w:rPr>
        <w:t xml:space="preserve">13.9% Hispanic residents compared with 17.7% in non-testing ZIP codes</w:t>
      </w:r>
      <w:r>
        <w:rPr>
          <w:rFonts w:eastAsia="georgia" w:cs="georgia" w:ascii="georgia" w:hAnsi="georgia"/>
          <w:color w:val="000000"/>
          <w:sz w:val="21"/>
        </w:rPr>
        <w:t xml:space="preserve">, indicating a systematic underrepresentation of Hispanic communities in areas with testing sites.[^1]</w:t>
      </w:r>
    </w:p>
    <w:p>
      <w:pPr>
        <w:numPr>
          <w:ilvl w:val="0"/>
          <w:numId w:val="2"/>
        </w:numPr>
        <w:spacing w:line="360" w:before="105" w:after="105" w:lineRule="auto"/>
      </w:pPr>
      <w:r>
        <w:rPr>
          <w:rFonts w:eastAsia="georgia" w:cs="georgia" w:ascii="georgia" w:hAnsi="georgia"/>
          <w:color w:val="000000"/>
          <w:sz w:val="21"/>
        </w:rPr>
        <w:t xml:space="preserve">A one–percentage point increase in the underrepresentation of Hispanic residents in testing ZIP codes was associated with a </w:t>
      </w:r>
      <w:r>
        <w:rPr>
          <w:rFonts w:eastAsia="georgia" w:cs="georgia" w:ascii="georgia" w:hAnsi="georgia"/>
          <w:b/>
          <w:color w:val="000000"/>
          <w:sz w:val="21"/>
        </w:rPr>
        <w:t xml:space="preserve">1.04 percentage-point increase in the share of COVID-19 deaths borne by Hispanics</w:t>
      </w:r>
      <w:r>
        <w:rPr>
          <w:rFonts w:eastAsia="georgia" w:cs="georgia" w:ascii="georgia" w:hAnsi="georgia"/>
          <w:color w:val="000000"/>
          <w:sz w:val="21"/>
        </w:rPr>
        <w:t xml:space="preserve"> in those counties a few weeks later, suggesting a direct link between inequitable routing and mortality.[^1]</w:t>
      </w:r>
    </w:p>
    <w:p>
      <w:pPr>
        <w:spacing w:line="360" w:after="210" w:lineRule="auto"/>
      </w:pPr>
      <w:r>
        <w:rPr>
          <w:rFonts w:eastAsia="georgia" w:cs="georgia" w:ascii="georgia" w:hAnsi="georgia"/>
          <w:color w:val="000000"/>
        </w:rPr>
        <w:t xml:space="preserve">These results show that the single most overburdened group nationally—Hispanic/Latino residents—had the least proportional geographic access to testing sites in the early, most critical phase of the pandemic.</w:t>
      </w:r>
    </w:p>
    <w:p>
      <w:pPr>
        <w:spacing w:line="360" w:before="315" w:after="105" w:lineRule="auto"/>
        <w:ind w:left="-30"/>
        <w:jc w:val="left"/>
      </w:pPr>
      <w:bookmarkStart w:id="7" w:name="bm_2_3_2_misalignment_with_social_5c0be3"/>
      <w:r>
        <w:rPr>
          <w:rFonts w:eastAsia="georgia" w:cs="georgia" w:ascii="georgia" w:hAnsi="georgia"/>
          <w:b/>
          <w:color w:val="000000"/>
          <w:sz w:val="24"/>
        </w:rPr>
        <w:t xml:space="preserve">2.3.2 Misalignment with social vulnerability and burden</w:t>
      </w:r>
      <w:bookmarkEnd w:id="7"/>
    </w:p>
    <w:p>
      <w:pPr>
        <w:spacing w:line="360" w:after="210" w:lineRule="auto"/>
      </w:pPr>
      <w:r>
        <w:rPr>
          <w:rFonts w:eastAsia="georgia" w:cs="georgia" w:ascii="georgia" w:hAnsi="georgia"/>
          <w:color w:val="000000"/>
        </w:rPr>
        <w:t xml:space="preserve">The CDC Social Vulnerability Index (SVI) aggregates factors like income, housing density, and access to transportation into a composite vulnerability score at the census tract level. When testing access is examined through the lens of SVI and case burden, the misalignment becomes clearer:[^2]</w:t>
      </w:r>
    </w:p>
    <w:p>
      <w:pPr>
        <w:numPr>
          <w:ilvl w:val="0"/>
          <w:numId w:val="3"/>
        </w:numPr>
        <w:spacing w:line="360" w:before="105" w:after="105" w:lineRule="auto"/>
      </w:pPr>
      <w:r>
        <w:rPr>
          <w:rFonts w:eastAsia="georgia" w:cs="georgia" w:ascii="georgia" w:hAnsi="georgia"/>
          <w:color w:val="000000"/>
          <w:sz w:val="21"/>
        </w:rPr>
        <w:t xml:space="preserve">In Massachusetts, high-SVI, majority-Hispanic cities like Chelsea and Lawrence had </w:t>
      </w:r>
      <w:r>
        <w:rPr>
          <w:rFonts w:eastAsia="georgia" w:cs="georgia" w:ascii="georgia" w:hAnsi="georgia"/>
          <w:b/>
          <w:color w:val="000000"/>
          <w:sz w:val="21"/>
        </w:rPr>
        <w:t xml:space="preserve">test positivity rates exceeding 30–40%</w:t>
      </w:r>
      <w:r>
        <w:rPr>
          <w:rFonts w:eastAsia="georgia" w:cs="georgia" w:ascii="georgia" w:hAnsi="georgia"/>
          <w:color w:val="000000"/>
          <w:sz w:val="21"/>
        </w:rPr>
        <w:t xml:space="preserve"> at points in April 2020, while affluently resourced, majority-White suburbs with much lower case rates had significantly more tests per capita and lower positivity.[^2]</w:t>
      </w:r>
    </w:p>
    <w:p>
      <w:pPr>
        <w:numPr>
          <w:ilvl w:val="0"/>
          <w:numId w:val="3"/>
        </w:numPr>
        <w:spacing w:line="360" w:before="105" w:after="105" w:lineRule="auto"/>
      </w:pPr>
      <w:r>
        <w:rPr>
          <w:rFonts w:eastAsia="georgia" w:cs="georgia" w:ascii="georgia" w:hAnsi="georgia"/>
          <w:color w:val="000000"/>
          <w:sz w:val="21"/>
        </w:rPr>
        <w:t xml:space="preserve">Similar patterns were observed in other states: testing was more readily available in wealthier, better-insured, and majority-White neighborhoods, even when local case counts and positivity were lower than in nearby high-SVI neighborhoods.[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2]</w:t>
      </w:r>
    </w:p>
    <w:p>
      <w:pPr>
        <w:spacing w:line="360" w:after="210" w:lineRule="auto"/>
      </w:pPr>
      <w:r>
        <w:rPr>
          <w:rFonts w:eastAsia="georgia" w:cs="georgia" w:ascii="georgia" w:hAnsi="georgia"/>
          <w:color w:val="000000"/>
        </w:rPr>
        <w:t xml:space="preserve">CDC surveillance data for the same period report that Hispanic and Black adults were hospitalized at </w:t>
      </w:r>
      <w:r>
        <w:rPr>
          <w:rFonts w:eastAsia="georgia" w:cs="georgia" w:ascii="georgia" w:hAnsi="georgia"/>
          <w:b/>
          <w:color w:val="000000"/>
        </w:rPr>
        <w:t xml:space="preserve">4.6–4.7 times the rate</w:t>
      </w:r>
      <w:r>
        <w:rPr>
          <w:rFonts w:eastAsia="georgia" w:cs="georgia" w:ascii="georgia" w:hAnsi="georgia"/>
          <w:color w:val="000000"/>
        </w:rPr>
        <w:t xml:space="preserve"> of White, non-Hispanic adults after age adjustment, yet these groups had less proportional access to testing infrastructure.[</w:t>
      </w:r>
      <w:r>
        <w:rPr>
          <w:rFonts w:eastAsia="georgia" w:cs="georgia" w:ascii="georgia" w:hAnsi="georgia"/>
          <w:color w:val="000000"/>
          <w:vertAlign w:val="superscript"/>
        </w:rPr>
        <w:t xml:space="preserve">6][</w:t>
      </w:r>
      <w:r>
        <w:rPr>
          <w:rFonts w:eastAsia="georgia" w:cs="georgia" w:ascii="georgia" w:hAnsi="georgia"/>
          <w:color w:val="000000"/>
        </w:rPr>
        <w:t xml:space="preserve">5]</w:t>
      </w:r>
    </w:p>
    <w:p>
      <w:pPr>
        <w:spacing w:line="360" w:before="315" w:after="105" w:lineRule="auto"/>
        <w:ind w:left="-30"/>
        <w:jc w:val="left"/>
      </w:pPr>
      <w:bookmarkStart w:id="8" w:name="bm_2_4_network_representation_of_eb8b0f"/>
      <w:r>
        <w:rPr>
          <w:rFonts w:eastAsia="georgia" w:cs="georgia" w:ascii="georgia" w:hAnsi="georgia"/>
          <w:b/>
          <w:color w:val="000000"/>
          <w:sz w:val="24"/>
        </w:rPr>
        <w:t xml:space="preserve">2.4 Network representation of test routing inefficiency</w:t>
      </w:r>
      <w:bookmarkEnd w:id="8"/>
    </w:p>
    <w:p>
      <w:pPr>
        <w:spacing w:line="360" w:after="210" w:lineRule="auto"/>
      </w:pPr>
      <w:r>
        <w:rPr>
          <w:rFonts w:eastAsia="georgia" w:cs="georgia" w:ascii="georgia" w:hAnsi="georgia"/>
          <w:color w:val="000000"/>
        </w:rPr>
        <w:t xml:space="preserve">To visualize these disparities, communities and testing sites can be modeled as a bipartite network:</w:t>
      </w:r>
    </w:p>
    <w:p>
      <w:pPr>
        <w:numPr>
          <w:ilvl w:val="0"/>
          <w:numId w:val="4"/>
        </w:numPr>
        <w:spacing w:line="360" w:before="105" w:after="105" w:lineRule="auto"/>
      </w:pPr>
      <w:r>
        <w:rPr>
          <w:rFonts w:eastAsia="georgia" w:cs="georgia" w:ascii="georgia" w:hAnsi="georgia"/>
          <w:b/>
          <w:color w:val="000000"/>
          <w:sz w:val="21"/>
        </w:rPr>
        <w:t xml:space="preserve">Community nodes</w:t>
      </w:r>
      <w:r>
        <w:rPr>
          <w:rFonts w:eastAsia="georgia" w:cs="georgia" w:ascii="georgia" w:hAnsi="georgia"/>
          <w:color w:val="000000"/>
          <w:sz w:val="21"/>
        </w:rPr>
        <w:t xml:space="preserve">: represent ZIP codes or counties, labeled by primary racial/ethnic composition (e.g., majority-Hispanic, majority-Black, majority-White) and SVI quartile.[</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0"/>
          <w:numId w:val="4"/>
        </w:numPr>
        <w:spacing w:line="360" w:before="105" w:after="105" w:lineRule="auto"/>
      </w:pPr>
      <w:r>
        <w:rPr>
          <w:rFonts w:eastAsia="georgia" w:cs="georgia" w:ascii="georgia" w:hAnsi="georgia"/>
          <w:b/>
          <w:color w:val="000000"/>
          <w:sz w:val="21"/>
        </w:rPr>
        <w:t xml:space="preserve">Testing site nodes</w:t>
      </w:r>
      <w:r>
        <w:rPr>
          <w:rFonts w:eastAsia="georgia" w:cs="georgia" w:ascii="georgia" w:hAnsi="georgia"/>
          <w:color w:val="000000"/>
          <w:sz w:val="21"/>
        </w:rPr>
        <w:t xml:space="preserve">: represent fixed or mobile testing facilities, with attributes for daily test capacity and location.</w:t>
      </w:r>
    </w:p>
    <w:p>
      <w:pPr>
        <w:numPr>
          <w:ilvl w:val="0"/>
          <w:numId w:val="4"/>
        </w:numPr>
        <w:spacing w:line="360" w:before="105" w:after="105" w:lineRule="auto"/>
      </w:pPr>
      <w:r>
        <w:rPr>
          <w:rFonts w:eastAsia="georgia" w:cs="georgia" w:ascii="georgia" w:hAnsi="georgia"/>
          <w:b/>
          <w:color w:val="000000"/>
          <w:sz w:val="21"/>
        </w:rPr>
        <w:t xml:space="preserve">Edges</w:t>
      </w:r>
      <w:r>
        <w:rPr>
          <w:rFonts w:eastAsia="georgia" w:cs="georgia" w:ascii="georgia" w:hAnsi="georgia"/>
          <w:color w:val="000000"/>
          <w:sz w:val="21"/>
        </w:rPr>
        <w:t xml:space="preserve">: connect each community to the nearest or k-nearest testing sites, with weights representing the fraction of a site’s capacity effectively available to that community (e.g., based on travel distance, site appointment allocations, or modeled queueing capacity).[^2]</w:t>
      </w:r>
    </w:p>
    <w:p>
      <w:pPr>
        <w:spacing w:line="360" w:after="210" w:lineRule="auto"/>
      </w:pPr>
      <w:r>
        <w:rPr>
          <w:rFonts w:eastAsia="georgia" w:cs="georgia" w:ascii="georgia" w:hAnsi="georgia"/>
          <w:color w:val="000000"/>
        </w:rPr>
        <w:t xml:space="preserve">Empirical patterns reported in the literature and reproduced in synthetic networks using these data show that:</w:t>
      </w:r>
    </w:p>
    <w:p>
      <w:pPr>
        <w:numPr>
          <w:ilvl w:val="0"/>
          <w:numId w:val="5"/>
        </w:numPr>
        <w:spacing w:line="360" w:before="105" w:after="105" w:lineRule="auto"/>
      </w:pPr>
      <w:r>
        <w:rPr>
          <w:rFonts w:eastAsia="georgia" w:cs="georgia" w:ascii="georgia" w:hAnsi="georgia"/>
          <w:color w:val="000000"/>
          <w:sz w:val="21"/>
        </w:rPr>
        <w:t xml:space="preserve">High-SVI, majority-Hispanic or majority-Black communities (for example, parts of the Bronx, South Los Angeles, and south-side Chicago) are connected by </w:t>
      </w:r>
      <w:r>
        <w:rPr>
          <w:rFonts w:eastAsia="georgia" w:cs="georgia" w:ascii="georgia" w:hAnsi="georgia"/>
          <w:b/>
          <w:color w:val="000000"/>
          <w:sz w:val="21"/>
        </w:rPr>
        <w:t xml:space="preserve">thin edges</w:t>
      </w:r>
      <w:r>
        <w:rPr>
          <w:rFonts w:eastAsia="georgia" w:cs="georgia" w:ascii="georgia" w:hAnsi="georgia"/>
          <w:color w:val="000000"/>
          <w:sz w:val="21"/>
        </w:rPr>
        <w:t xml:space="preserve"> to large testing hubs, representing low access to capacity even when geographically proximate.[</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0"/>
          <w:numId w:val="5"/>
        </w:numPr>
        <w:spacing w:line="360" w:before="105" w:after="105" w:lineRule="auto"/>
      </w:pPr>
      <w:r>
        <w:rPr>
          <w:rFonts w:eastAsia="georgia" w:cs="georgia" w:ascii="georgia" w:hAnsi="georgia"/>
          <w:color w:val="000000"/>
          <w:sz w:val="21"/>
        </w:rPr>
        <w:t xml:space="preserve">Low-SVI, majority-White communities in the same metropolitan areas are connected by </w:t>
      </w:r>
      <w:r>
        <w:rPr>
          <w:rFonts w:eastAsia="georgia" w:cs="georgia" w:ascii="georgia" w:hAnsi="georgia"/>
          <w:b/>
          <w:color w:val="000000"/>
          <w:sz w:val="21"/>
        </w:rPr>
        <w:t xml:space="preserve">thicker edges</w:t>
      </w:r>
      <w:r>
        <w:rPr>
          <w:rFonts w:eastAsia="georgia" w:cs="georgia" w:ascii="georgia" w:hAnsi="georgia"/>
          <w:color w:val="000000"/>
          <w:sz w:val="21"/>
        </w:rPr>
        <w:t xml:space="preserve"> to the same hubs, representing a higher share of effective capacity—often further amplified by better transportation, insurance status, and information access.[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w:t>
      </w:r>
    </w:p>
    <w:p>
      <w:pPr>
        <w:spacing w:line="360" w:after="210" w:lineRule="auto"/>
      </w:pPr>
      <w:r>
        <w:rPr>
          <w:rFonts w:eastAsia="georgia" w:cs="georgia" w:ascii="georgia" w:hAnsi="georgia"/>
          <w:color w:val="000000"/>
        </w:rPr>
        <w:t xml:space="preserve">Graphically, this yields a network where test capacity flows toward lower-burden, lower-SVI communities, while the highest-burden communities are structurally under-served.</w:t>
      </w:r>
    </w:p>
    <w:p>
      <w:pPr>
        <w:spacing w:line="360" w:before="315" w:after="105" w:lineRule="auto"/>
        <w:ind w:left="-30"/>
        <w:jc w:val="left"/>
      </w:pPr>
      <w:bookmarkStart w:id="9" w:name="bm_2_5_confusion_matrix_of_test_r_14aa61"/>
      <w:r>
        <w:rPr>
          <w:rFonts w:eastAsia="georgia" w:cs="georgia" w:ascii="georgia" w:hAnsi="georgia"/>
          <w:b/>
          <w:color w:val="000000"/>
          <w:sz w:val="24"/>
        </w:rPr>
        <w:t xml:space="preserve">2.5 Confusion matrix of test routing vs. vulnerability</w:t>
      </w:r>
      <w:bookmarkEnd w:id="9"/>
    </w:p>
    <w:p>
      <w:pPr>
        <w:spacing w:line="360" w:after="210" w:lineRule="auto"/>
      </w:pPr>
      <w:r>
        <w:rPr>
          <w:rFonts w:eastAsia="georgia" w:cs="georgia" w:ascii="georgia" w:hAnsi="georgia"/>
          <w:color w:val="000000"/>
        </w:rPr>
        <w:t xml:space="preserve">To formalize the misalignment between allocation and need, the network can be summarized into a confusion-matrix-style table, treating “should receive high test capacity” as the ground truth label and “did receive high test capacity” as the predicted label. Here, “high need” can be defined using SVI quartiles and case burden (e.g., high-SVI and high case rate), and “high allocation” can be defined as being in the top quantiles of tests per 1,000 residents.</w:t>
      </w:r>
    </w:p>
    <w:p>
      <w:pPr>
        <w:spacing w:line="360" w:after="210" w:lineRule="auto"/>
      </w:pPr>
      <w:r>
        <w:rPr>
          <w:rFonts w:eastAsia="georgia" w:cs="georgia" w:ascii="georgia" w:hAnsi="georgia"/>
          <w:color w:val="000000"/>
        </w:rPr>
        <w:t xml:space="preserve">A conceptual confusion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High actual need</w:t>
            </w:r>
            <w:r>
              <w:rPr>
                <w:rFonts w:eastAsia="helvetica neue" w:cs="helvetica neue" w:ascii="helvetica neue" w:hAnsi="helvetica neue"/>
                <w:color w:val="000000"/>
                <w:sz w:val="17"/>
              </w:rPr>
              <w:t xml:space="preserve"> (SVI high, burden high)</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Low actual need</w:t>
            </w:r>
            <w:r>
              <w:rPr>
                <w:rFonts w:eastAsia="helvetica neue" w:cs="helvetica neue" w:ascii="helvetica neue" w:hAnsi="helvetica neue"/>
                <w:color w:val="000000"/>
                <w:sz w:val="17"/>
              </w:rPr>
              <w:t xml:space="preserve"> (SVI low, burden 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High test allocation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True positive (TP): correctly prioritized high-risk communities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False positive (FP): over-served low-risk, low-burden communities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Low test allocation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False negative (FN): under-served high-risk communities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True negative (TN): correctly deprioritized low-risk communities</w:t>
            </w:r>
          </w:p>
        </w:tc>
      </w:tr>
    </w:tbl>
    <w:p>
      <w:pPr>
        <w:spacing w:lineRule="auto"/>
      </w:pPr>
    </w:p>
    <w:p>
      <w:pPr>
        <w:spacing w:line="360" w:after="210" w:lineRule="auto"/>
      </w:pPr>
      <w:r>
        <w:rPr>
          <w:rFonts w:eastAsia="georgia" w:cs="georgia" w:ascii="georgia" w:hAnsi="georgia"/>
          <w:color w:val="000000"/>
        </w:rPr>
        <w:t xml:space="preserve">Using the national and state-level evidence, the early-pandemic routing pattern can be summarized qualitatively as follows:</w:t>
      </w:r>
    </w:p>
    <w:p>
      <w:pPr>
        <w:numPr>
          <w:ilvl w:val="0"/>
          <w:numId w:val="6"/>
        </w:numPr>
        <w:spacing w:line="360" w:before="105" w:after="105" w:lineRule="auto"/>
      </w:pPr>
      <w:r>
        <w:rPr>
          <w:rFonts w:eastAsia="georgia" w:cs="georgia" w:ascii="georgia" w:hAnsi="georgia"/>
          <w:color w:val="000000"/>
          <w:sz w:val="21"/>
        </w:rPr>
        <w:t xml:space="preserve">Many high-SVI, majority-Hispanic and majority-Black communities fell into the </w:t>
      </w:r>
      <w:r>
        <w:rPr>
          <w:rFonts w:eastAsia="georgia" w:cs="georgia" w:ascii="georgia" w:hAnsi="georgia"/>
          <w:b/>
          <w:color w:val="000000"/>
          <w:sz w:val="21"/>
        </w:rPr>
        <w:t xml:space="preserve">FN cell</w:t>
      </w:r>
      <w:r>
        <w:rPr>
          <w:rFonts w:eastAsia="georgia" w:cs="georgia" w:ascii="georgia" w:hAnsi="georgia"/>
          <w:color w:val="000000"/>
          <w:sz w:val="21"/>
        </w:rPr>
        <w:t xml:space="preserve">, receiving low test allocation despite high need, as evidenced by high positivity rates and later disproportionate hospitalization and death rates.[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2][^6]</w:t>
      </w:r>
    </w:p>
    <w:p>
      <w:pPr>
        <w:numPr>
          <w:ilvl w:val="0"/>
          <w:numId w:val="6"/>
        </w:numPr>
        <w:spacing w:line="360" w:before="105" w:after="105" w:lineRule="auto"/>
      </w:pPr>
      <w:r>
        <w:rPr>
          <w:rFonts w:eastAsia="georgia" w:cs="georgia" w:ascii="georgia" w:hAnsi="georgia"/>
          <w:color w:val="000000"/>
          <w:sz w:val="21"/>
        </w:rPr>
        <w:t xml:space="preserve">Many low-SVI, majority-White communities fell into the </w:t>
      </w:r>
      <w:r>
        <w:rPr>
          <w:rFonts w:eastAsia="georgia" w:cs="georgia" w:ascii="georgia" w:hAnsi="georgia"/>
          <w:b/>
          <w:color w:val="000000"/>
          <w:sz w:val="21"/>
        </w:rPr>
        <w:t xml:space="preserve">FP cell</w:t>
      </w:r>
      <w:r>
        <w:rPr>
          <w:rFonts w:eastAsia="georgia" w:cs="georgia" w:ascii="georgia" w:hAnsi="georgia"/>
          <w:color w:val="000000"/>
          <w:sz w:val="21"/>
        </w:rPr>
        <w:t xml:space="preserve">, receiving high per-capita test allocation despite lower burden, as evidenced by lower positivity rates and lower age-adjusted hospitalization rates.[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w:t>
      </w:r>
    </w:p>
    <w:p>
      <w:pPr>
        <w:spacing w:line="360" w:after="210" w:lineRule="auto"/>
      </w:pPr>
      <w:r>
        <w:rPr>
          <w:rFonts w:eastAsia="georgia" w:cs="georgia" w:ascii="georgia" w:hAnsi="georgia"/>
          <w:color w:val="000000"/>
        </w:rPr>
        <w:t xml:space="preserve">This imbalance corresponds to a classifier that is </w:t>
      </w:r>
      <w:r>
        <w:rPr>
          <w:rFonts w:eastAsia="georgia" w:cs="georgia" w:ascii="georgia" w:hAnsi="georgia"/>
          <w:b/>
          <w:color w:val="000000"/>
        </w:rPr>
        <w:t xml:space="preserve">biased toward false negatives among high-risk groups and false positives among low-risk groups</w:t>
      </w:r>
      <w:r>
        <w:rPr>
          <w:rFonts w:eastAsia="georgia" w:cs="georgia" w:ascii="georgia" w:hAnsi="georgia"/>
          <w:color w:val="000000"/>
        </w:rPr>
        <w:t xml:space="preserve">, which is exactly the type of error distribution that fairness-aware CMAB policies seek to correct.</w:t>
      </w:r>
    </w:p>
    <w:p>
      <w:pPr>
        <w:spacing w:line="360" w:before="315" w:after="105" w:lineRule="auto"/>
        <w:ind w:left="-30"/>
        <w:jc w:val="left"/>
      </w:pPr>
      <w:bookmarkStart w:id="10" w:name="bm_2_6_fairness_aware_bandit_rout_bffc5c"/>
      <w:r>
        <w:rPr>
          <w:rFonts w:eastAsia="georgia" w:cs="georgia" w:ascii="georgia" w:hAnsi="georgia"/>
          <w:b/>
          <w:color w:val="000000"/>
          <w:sz w:val="24"/>
        </w:rPr>
        <w:t xml:space="preserve">2.6 Fairness-aware bandit routing as a counterfactual</w:t>
      </w:r>
      <w:bookmarkEnd w:id="10"/>
    </w:p>
    <w:p>
      <w:pPr>
        <w:spacing w:line="360" w:after="210" w:lineRule="auto"/>
      </w:pPr>
      <w:r>
        <w:rPr>
          <w:rFonts w:eastAsia="georgia" w:cs="georgia" w:ascii="georgia" w:hAnsi="georgia"/>
          <w:color w:val="000000"/>
        </w:rPr>
        <w:t xml:space="preserve">A contextual multi-armed bandit with fairness constraints can be used to simulate a counterfactual test allocation policy that incorporates vulnerability context and penalizes group-level disparity.</w:t>
      </w:r>
    </w:p>
    <w:p>
      <w:pPr>
        <w:spacing w:line="360" w:before="315" w:after="105" w:lineRule="auto"/>
        <w:ind w:left="-30"/>
        <w:jc w:val="left"/>
      </w:pPr>
      <w:bookmarkStart w:id="11" w:name="bm_2_6_1_context_and_actions"/>
      <w:r>
        <w:rPr>
          <w:rFonts w:eastAsia="georgia" w:cs="georgia" w:ascii="georgia" w:hAnsi="georgia"/>
          <w:b/>
          <w:color w:val="000000"/>
          <w:sz w:val="24"/>
        </w:rPr>
        <w:t xml:space="preserve">2.6.1 Context and actions</w:t>
      </w:r>
      <w:bookmarkEnd w:id="11"/>
    </w:p>
    <w:p>
      <w:pPr>
        <w:spacing w:line="360" w:after="210" w:lineRule="auto"/>
      </w:pPr>
      <w:r>
        <w:rPr>
          <w:rFonts w:eastAsia="georgia" w:cs="georgia" w:ascii="georgia" w:hAnsi="georgia"/>
          <w:color w:val="000000"/>
        </w:rPr>
        <w:t xml:space="preserve">For each community </w:t>
      </w:r>
      <m:oMath>
        <m:r>
          <m:rPr>
            <m:sty m:val="i"/>
          </m:rPr>
          <w:rPr>
            <w:color w:val="000000"/>
          </w:rPr>
          <m:t>i</m:t>
        </m:r>
      </m:oMath>
      <w:r>
        <w:rPr>
          <w:rFonts w:eastAsia="georgia" w:cs="georgia" w:ascii="georgia" w:hAnsi="georgia"/>
          <w:color w:val="000000"/>
        </w:rPr>
        <w:t xml:space="preserve">, define a context vector </w:t>
      </w:r>
      <m:oMath>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georgia" w:cs="georgia" w:ascii="georgia" w:hAnsi="georgia"/>
          <w:color w:val="000000"/>
        </w:rPr>
        <w:t xml:space="preserve"> that includes variables available to decision makers during the pandemic:</w:t>
      </w:r>
    </w:p>
    <w:p>
      <w:pPr>
        <w:spacing w:line="360" w:after="210" w:lineRule="auto"/>
      </w:pPr>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SVI</m:t>
            </m:r>
          </m:e>
          <m:sub>
            <m:r>
              <m:rPr>
                <m:sty m:val="i"/>
              </m:rPr>
              <w:rPr>
                <w:color w:val="000000"/>
              </w:rPr>
              <m:t>i</m:t>
            </m:r>
          </m:sub>
        </m:sSub>
        <m:r>
          <m:rPr>
            <m:sty m:val="p"/>
          </m:rPr>
          <w:rPr>
            <w:color w:val="000000"/>
          </w:rPr>
          <m:t>,</m:t>
        </m:r>
        <m:r>
          <m:rPr>
            <m:nor/>
          </m:rPr>
          <w:rPr>
            <w:color w:val="000000"/>
          </w:rPr>
        </m:r>
      </m:oMath>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At each time step (e.g., weekly), the bandit chooses an allocation action </w:t>
      </w:r>
      <m:oMath>
        <m:sSub>
          <m:sSubPr>
            <m:ctrlPr>
              <w:rPr>
                <w:rFonts w:ascii="Cambria Math" w:hAnsi="Cambria Math"/>
                <w:color w:val="000000"/>
              </w:rPr>
            </m:ctrlPr>
          </m:sSubPr>
          <m:e>
            <m:r>
              <m:rPr>
                <m:sty m:val="i"/>
              </m:rPr>
              <w:rPr>
                <w:color w:val="000000"/>
              </w:rPr>
              <m:t>a</m:t>
            </m:r>
          </m:e>
          <m:sub>
            <m:r>
              <m:rPr>
                <m:sty m:val="i"/>
              </m:rPr>
              <w:rPr>
                <w:color w:val="000000"/>
              </w:rPr>
              <m:t>i</m:t>
            </m:r>
            <m:r>
              <m:rPr>
                <m:sty m:val="p"/>
              </m:rPr>
              <w:rPr>
                <w:color w:val="000000"/>
              </w:rPr>
              <m:t>,</m:t>
            </m:r>
            <m:r>
              <m:rPr>
                <m:sty m:val="i"/>
              </m:rPr>
              <w:rPr>
                <w:color w:val="000000"/>
              </w:rPr>
              <m:t>t</m:t>
            </m:r>
          </m:sub>
        </m:sSub>
      </m:oMath>
      <w:r>
        <w:rPr>
          <w:rFonts w:eastAsia="georgia" w:cs="georgia" w:ascii="georgia" w:hAnsi="georgia"/>
          <w:color w:val="000000"/>
        </w:rPr>
        <w:t xml:space="preserve"> for each community, corresponding to discrete levels of test capacity or to assigning mobile testing units. The reward function combines detected infections, reduction in uncontrolled transmission, and possibly proxies for averted hospitalizations.[</w:t>
      </w:r>
      <w:r>
        <w:rPr>
          <w:rFonts w:eastAsia="georgia" w:cs="georgia" w:ascii="georgia" w:hAnsi="georgia"/>
          <w:color w:val="000000"/>
          <w:vertAlign w:val="superscript"/>
        </w:rPr>
        <w:t xml:space="preserve">2][</w:t>
      </w:r>
      <w:r>
        <w:rPr>
          <w:rFonts w:eastAsia="georgia" w:cs="georgia" w:ascii="georgia" w:hAnsi="georgia"/>
          <w:color w:val="000000"/>
        </w:rPr>
        <w:t xml:space="preserve">5]</w:t>
      </w:r>
    </w:p>
    <w:p>
      <w:pPr>
        <w:spacing w:line="360" w:before="315" w:after="105" w:lineRule="auto"/>
        <w:ind w:left="-30"/>
        <w:jc w:val="left"/>
      </w:pPr>
      <w:bookmarkStart w:id="12" w:name="bm_2_6_2_fairness_constraints"/>
      <w:r>
        <w:rPr>
          <w:rFonts w:eastAsia="georgia" w:cs="georgia" w:ascii="georgia" w:hAnsi="georgia"/>
          <w:b/>
          <w:color w:val="000000"/>
          <w:sz w:val="24"/>
        </w:rPr>
        <w:t xml:space="preserve">2.6.2 Fairness constraints</w:t>
      </w:r>
      <w:bookmarkEnd w:id="12"/>
    </w:p>
    <w:p>
      <w:pPr>
        <w:spacing w:line="360" w:after="210" w:lineRule="auto"/>
      </w:pPr>
      <w:r>
        <w:rPr>
          <w:rFonts w:eastAsia="georgia" w:cs="georgia" w:ascii="georgia" w:hAnsi="georgia"/>
          <w:color w:val="000000"/>
        </w:rPr>
        <w:t xml:space="preserve">To reduce disparities, a fairness-aware bandit can incorporate constraints such as:</w:t>
      </w:r>
    </w:p>
    <w:p>
      <w:pPr>
        <w:numPr>
          <w:ilvl w:val="0"/>
          <w:numId w:val="7"/>
        </w:numPr>
        <w:spacing w:line="360" w:before="105" w:after="105" w:lineRule="auto"/>
      </w:pPr>
      <w:r>
        <w:rPr>
          <w:rFonts w:eastAsia="georgia" w:cs="georgia" w:ascii="georgia" w:hAnsi="georgia"/>
          <w:color w:val="000000"/>
          <w:sz w:val="21"/>
        </w:rPr>
        <w:t xml:space="preserve">Maintaining approximate parity in </w:t>
      </w:r>
      <w:r>
        <w:rPr>
          <w:rFonts w:eastAsia="georgia" w:cs="georgia" w:ascii="georgia" w:hAnsi="georgia"/>
          <w:b/>
          <w:color w:val="000000"/>
          <w:sz w:val="21"/>
        </w:rPr>
        <w:t xml:space="preserve">tests per unit of burden</w:t>
      </w:r>
      <w:r>
        <w:rPr>
          <w:rFonts w:eastAsia="georgia" w:cs="georgia" w:ascii="georgia" w:hAnsi="georgia"/>
          <w:color w:val="000000"/>
          <w:sz w:val="21"/>
        </w:rPr>
        <w:t xml:space="preserve"> across racial/ethnic groups, where burden is measured via case rate and SVI.[^5]</w:t>
      </w:r>
    </w:p>
    <w:p>
      <w:pPr>
        <w:numPr>
          <w:ilvl w:val="0"/>
          <w:numId w:val="7"/>
        </w:numPr>
        <w:spacing w:line="360" w:before="105" w:after="105" w:lineRule="auto"/>
      </w:pPr>
      <w:r>
        <w:rPr>
          <w:rFonts w:eastAsia="georgia" w:cs="georgia" w:ascii="georgia" w:hAnsi="georgia"/>
          <w:color w:val="000000"/>
          <w:sz w:val="21"/>
        </w:rPr>
        <w:t xml:space="preserve">Limiting group-level disparity in </w:t>
      </w:r>
      <w:r>
        <w:rPr>
          <w:rFonts w:eastAsia="georgia" w:cs="georgia" w:ascii="georgia" w:hAnsi="georgia"/>
          <w:b/>
          <w:color w:val="000000"/>
          <w:sz w:val="21"/>
        </w:rPr>
        <w:t xml:space="preserve">tests per 1,000 residents</w:t>
      </w:r>
      <w:r>
        <w:rPr>
          <w:rFonts w:eastAsia="georgia" w:cs="georgia" w:ascii="georgia" w:hAnsi="georgia"/>
          <w:color w:val="000000"/>
          <w:sz w:val="21"/>
        </w:rPr>
        <w:t xml:space="preserve"> or </w:t>
      </w:r>
      <w:r>
        <w:rPr>
          <w:rFonts w:eastAsia="georgia" w:cs="georgia" w:ascii="georgia" w:hAnsi="georgia"/>
          <w:b/>
          <w:color w:val="000000"/>
          <w:sz w:val="21"/>
        </w:rPr>
        <w:t xml:space="preserve">tests per expected case</w:t>
      </w:r>
      <w:r>
        <w:rPr>
          <w:rFonts w:eastAsia="georgia" w:cs="georgia" w:ascii="georgia" w:hAnsi="georgia"/>
          <w:color w:val="000000"/>
          <w:sz w:val="21"/>
        </w:rPr>
        <w:t xml:space="preserve"> between the best-served and worst-served groups (e.g., bounding the ratio or difference by a small constant </w:t>
      </w:r>
      <m:oMath>
        <m:r>
          <m:rPr>
            <m:sty m:val="i"/>
          </m:rPr>
          <w:rPr>
            <w:color w:val="000000"/>
            <w:sz w:val="21"/>
          </w:rPr>
          <m:t>δ</m:t>
        </m:r>
      </m:oMath>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Empirically grounded simulations using the Rodriguez et al. and CDC data can calibrate a counterfactual in which:</w:t>
      </w:r>
    </w:p>
    <w:p>
      <w:pPr>
        <w:numPr>
          <w:ilvl w:val="0"/>
          <w:numId w:val="8"/>
        </w:numPr>
        <w:spacing w:line="360" w:before="105" w:after="105" w:lineRule="auto"/>
      </w:pPr>
      <w:r>
        <w:rPr>
          <w:rFonts w:eastAsia="georgia" w:cs="georgia" w:ascii="georgia" w:hAnsi="georgia"/>
          <w:color w:val="000000"/>
          <w:sz w:val="21"/>
        </w:rPr>
        <w:t xml:space="preserve">Tests per 1,000 residents in high-SVI, majority-Hispanic and majority-Black communities increase by a factor of 3–4, while tests per 1,000 residents in low-SVI, majority-White communities decrease correspondingly.[</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6][^2]</w:t>
      </w:r>
    </w:p>
    <w:p>
      <w:pPr>
        <w:numPr>
          <w:ilvl w:val="0"/>
          <w:numId w:val="8"/>
        </w:numPr>
        <w:spacing w:line="360" w:before="105" w:after="105" w:lineRule="auto"/>
      </w:pPr>
      <w:r>
        <w:rPr>
          <w:rFonts w:eastAsia="georgia" w:cs="georgia" w:ascii="georgia" w:hAnsi="georgia"/>
          <w:color w:val="000000"/>
          <w:sz w:val="21"/>
        </w:rPr>
        <w:t xml:space="preserve">The disparity in testing access between high-burden and low-burden groups is significantly reduced, aligning allocation more closely with actual need.</w:t>
      </w:r>
    </w:p>
    <w:p>
      <w:pPr>
        <w:spacing w:line="360" w:before="315" w:after="105" w:lineRule="auto"/>
        <w:ind w:left="-30"/>
        <w:jc w:val="left"/>
      </w:pPr>
      <w:bookmarkStart w:id="13" w:name="bm_2_7_summary_of_case_1"/>
      <w:r>
        <w:rPr>
          <w:rFonts w:eastAsia="georgia" w:cs="georgia" w:ascii="georgia" w:hAnsi="georgia"/>
          <w:b/>
          <w:color w:val="000000"/>
          <w:sz w:val="24"/>
        </w:rPr>
        <w:t xml:space="preserve">2.7 Summary of case 1</w:t>
      </w:r>
      <w:bookmarkEnd w:id="13"/>
    </w:p>
    <w:p>
      <w:pPr>
        <w:spacing w:line="360" w:after="210" w:lineRule="auto"/>
      </w:pPr>
      <w:r>
        <w:rPr>
          <w:rFonts w:eastAsia="georgia" w:cs="georgia" w:ascii="georgia" w:hAnsi="georgia"/>
          <w:color w:val="000000"/>
        </w:rPr>
        <w:t xml:space="preserve">Case 1 demonstrates that when population-level vulnerability context (race/ethnicity, SVI, burden) is omitted or under-weighted in routing decisions, testing infrastructure is disproportionately allocated to lower-risk, better-resourced communities. Hispanic and Black communities, which experienced the highest hospitalization and death rates, were systematically under-tested and under-served early in the pandemic, as evidenced by underrepresentation in testing ZIP codes and extremely high positivity rates. A fairness-aware CMAB policy that explicitly incorporates vulnerability context and penalizes group-level disparity provides a coherent framework for designing and evaluating improved allocation strategies.[</w:t>
      </w:r>
      <w:r>
        <w:rPr>
          <w:rFonts w:eastAsia="georgia" w:cs="georgia" w:ascii="georgia" w:hAnsi="georgia"/>
          <w:color w:val="000000"/>
          <w:vertAlign w:val="superscript"/>
        </w:rPr>
        <w:t xml:space="preserve">1][</w:t>
      </w:r>
      <w:r>
        <w:rPr>
          <w:rFonts w:eastAsia="georgia" w:cs="georgia" w:ascii="georgia" w:hAnsi="georgia"/>
          <w:color w:val="000000"/>
        </w:rPr>
        <w:t xml:space="preserve">2][^6]</w:t>
      </w:r>
    </w:p>
    <w:p>
      <w:pPr>
        <w:spacing w:line="360" w:before="315" w:after="105" w:lineRule="auto"/>
        <w:ind w:left="-30"/>
        <w:jc w:val="left"/>
      </w:pPr>
      <w:bookmarkStart w:id="14" w:name="bm_3_case_2_racial_bias_in_pulse_df5bbf"/>
      <w:r>
        <w:rPr>
          <w:rFonts w:eastAsia="georgia" w:cs="georgia" w:ascii="georgia" w:hAnsi="georgia"/>
          <w:b/>
          <w:color w:val="000000"/>
          <w:sz w:val="24"/>
        </w:rPr>
        <w:t xml:space="preserve">3. Case 2 – Racial Bias in Pulse Oximetry and Diagnostic Decision-Making</w:t>
      </w:r>
      <w:bookmarkEnd w:id="14"/>
    </w:p>
    <w:p>
      <w:pPr>
        <w:spacing w:line="360" w:before="315" w:after="105" w:lineRule="auto"/>
        <w:ind w:left="-30"/>
        <w:jc w:val="left"/>
      </w:pPr>
      <w:bookmarkStart w:id="15" w:name="bm_3_1_policy_problem_and_causal_f693c9"/>
      <w:r>
        <w:rPr>
          <w:rFonts w:eastAsia="georgia" w:cs="georgia" w:ascii="georgia" w:hAnsi="georgia"/>
          <w:b/>
          <w:color w:val="000000"/>
          <w:sz w:val="24"/>
        </w:rPr>
        <w:t xml:space="preserve">3.1 Policy problem and causal mechanism</w:t>
      </w:r>
      <w:bookmarkEnd w:id="15"/>
    </w:p>
    <w:p>
      <w:pPr>
        <w:spacing w:line="360" w:after="210" w:lineRule="auto"/>
      </w:pPr>
      <w:r>
        <w:rPr>
          <w:rFonts w:eastAsia="georgia" w:cs="georgia" w:ascii="georgia" w:hAnsi="georgia"/>
          <w:color w:val="000000"/>
        </w:rPr>
        <w:t xml:space="preserve">Pulse oximetry became a key diagnostic and triage tool for COVID-19, both in hospitals and in home monitoring. Clinical decision thresholds (for example, SpO₂ &lt; 92% triggers supplemental oxygen or hospitalization) were applied uniformly across patients, under the assumption that the device’s measurement error was small and group-agnostic.[</w:t>
      </w:r>
      <w:r>
        <w:rPr>
          <w:rFonts w:eastAsia="georgia" w:cs="georgia" w:ascii="georgia" w:hAnsi="georgia"/>
          <w:color w:val="000000"/>
          <w:vertAlign w:val="superscript"/>
        </w:rPr>
        <w:t xml:space="preserve">7][</w:t>
      </w:r>
      <w:r>
        <w:rPr>
          <w:rFonts w:eastAsia="georgia" w:cs="georgia" w:ascii="georgia" w:hAnsi="georgia"/>
          <w:color w:val="000000"/>
        </w:rPr>
        <w:t xml:space="preserve">8][^4]</w:t>
      </w:r>
    </w:p>
    <w:p>
      <w:pPr>
        <w:spacing w:line="360" w:after="210" w:lineRule="auto"/>
      </w:pPr>
      <w:r>
        <w:rPr>
          <w:rFonts w:eastAsia="georgia" w:cs="georgia" w:ascii="georgia" w:hAnsi="georgia"/>
          <w:color w:val="000000"/>
        </w:rPr>
        <w:t xml:space="preserve">However, a series of studies conducted during the pandemic showed that pulse oximeters systematically </w:t>
      </w:r>
      <w:r>
        <w:rPr>
          <w:rFonts w:eastAsia="georgia" w:cs="georgia" w:ascii="georgia" w:hAnsi="georgia"/>
          <w:b/>
          <w:color w:val="000000"/>
        </w:rPr>
        <w:t xml:space="preserve">overestimate arterial oxygen saturation (SaO₂) in patients with darker skin pigmentation</w:t>
      </w:r>
      <w:r>
        <w:rPr>
          <w:rFonts w:eastAsia="georgia" w:cs="georgia" w:ascii="georgia" w:hAnsi="georgia"/>
          <w:color w:val="000000"/>
        </w:rPr>
        <w:t xml:space="preserve">, especially Black and some Asian patients, leading to “occult hypoxemia” (true SaO₂ &lt; 88% while SpO₂ appears ≥ 92%). This measurement bias is a direct consequence of missing calibration context: device development and validation relied on cohorts that underrepresented darker-skinned individuals, and regulatory standards did not require stratified performance data by race or skin tone.[</w:t>
      </w:r>
      <w:r>
        <w:rPr>
          <w:rFonts w:eastAsia="georgia" w:cs="georgia" w:ascii="georgia" w:hAnsi="georgia"/>
          <w:color w:val="000000"/>
          <w:vertAlign w:val="superscript"/>
        </w:rPr>
        <w:t xml:space="preserve">3][</w:t>
      </w:r>
      <w:r>
        <w:rPr>
          <w:rFonts w:eastAsia="georgia" w:cs="georgia" w:ascii="georgia" w:hAnsi="georgia"/>
          <w:color w:val="000000"/>
        </w:rPr>
        <w:t xml:space="preserve">9][</w:t>
      </w:r>
      <w:r>
        <w:rPr>
          <w:rFonts w:eastAsia="georgia" w:cs="georgia" w:ascii="georgia" w:hAnsi="georgia"/>
          <w:color w:val="000000"/>
          <w:vertAlign w:val="superscript"/>
        </w:rPr>
        <w:t xml:space="preserve">10][</w:t>
      </w:r>
      <w:r>
        <w:rPr>
          <w:rFonts w:eastAsia="georgia" w:cs="georgia" w:ascii="georgia" w:hAnsi="georgia"/>
          <w:color w:val="000000"/>
        </w:rPr>
        <w:t xml:space="preserve">11]</w:t>
      </w:r>
    </w:p>
    <w:p>
      <w:pPr>
        <w:spacing w:line="360" w:after="210" w:lineRule="auto"/>
      </w:pPr>
      <w:r>
        <w:rPr>
          <w:rFonts w:eastAsia="georgia" w:cs="georgia" w:ascii="georgia" w:hAnsi="georgia"/>
          <w:color w:val="000000"/>
        </w:rPr>
        <w:t xml:space="preserve">The result is a diagnostic pipeline that effectively routes supplemental oxygen, hospitalization, and COVID-specific therapies away from high-risk minority patients at the same nominal SpO₂ values as those used for White patients.</w:t>
      </w:r>
    </w:p>
    <w:p>
      <w:pPr>
        <w:spacing w:line="360" w:before="315" w:after="105" w:lineRule="auto"/>
        <w:ind w:left="-30"/>
        <w:jc w:val="left"/>
      </w:pPr>
      <w:bookmarkStart w:id="16" w:name="bm_3_2_data_sources"/>
      <w:r>
        <w:rPr>
          <w:rFonts w:eastAsia="georgia" w:cs="georgia" w:ascii="georgia" w:hAnsi="georgia"/>
          <w:b/>
          <w:color w:val="000000"/>
          <w:sz w:val="24"/>
        </w:rPr>
        <w:t xml:space="preserve">3.2 Data sources</w:t>
      </w:r>
      <w:bookmarkEnd w:id="16"/>
    </w:p>
    <w:p>
      <w:pPr>
        <w:spacing w:line="360" w:after="210" w:lineRule="auto"/>
      </w:pPr>
      <w:r>
        <w:rPr>
          <w:rFonts w:eastAsia="georgia" w:cs="georgia" w:ascii="georgia" w:hAnsi="georgia"/>
          <w:color w:val="000000"/>
        </w:rPr>
        <w:t xml:space="preserve">The key quantitative evidence for pulse oximetry racial bias comes from the following sources:</w:t>
      </w:r>
    </w:p>
    <w:p>
      <w:pPr>
        <w:numPr>
          <w:ilvl w:val="0"/>
          <w:numId w:val="9"/>
        </w:numPr>
        <w:spacing w:line="360" w:before="105" w:after="105" w:lineRule="auto"/>
      </w:pPr>
      <w:r>
        <w:rPr>
          <w:rFonts w:eastAsia="georgia" w:cs="georgia" w:ascii="georgia" w:hAnsi="georgia"/>
          <w:b/>
          <w:color w:val="000000"/>
          <w:sz w:val="21"/>
        </w:rPr>
        <w:t xml:space="preserve">Sjoding et al., NEJM 2020</w:t>
      </w:r>
      <w:r>
        <w:rPr>
          <w:rFonts w:eastAsia="georgia" w:cs="georgia" w:ascii="georgia" w:hAnsi="georgia"/>
          <w:color w:val="000000"/>
          <w:sz w:val="21"/>
        </w:rPr>
        <w:t xml:space="preserve">: Retrospective study of 10,789 patients with paired SpO₂ (pulse oximeter) and SaO₂ (arterial blood gas) values at a U.S. academic medical center.[^3]</w:t>
      </w:r>
    </w:p>
    <w:p>
      <w:pPr>
        <w:numPr>
          <w:ilvl w:val="0"/>
          <w:numId w:val="9"/>
        </w:numPr>
        <w:spacing w:line="360" w:before="105" w:after="105" w:lineRule="auto"/>
      </w:pPr>
      <w:r>
        <w:rPr>
          <w:rFonts w:eastAsia="georgia" w:cs="georgia" w:ascii="georgia" w:hAnsi="georgia"/>
          <w:b/>
          <w:color w:val="000000"/>
          <w:sz w:val="21"/>
        </w:rPr>
        <w:t xml:space="preserve">Fawzy et al., JAMA Internal Medicine 2022</w:t>
      </w:r>
      <w:r>
        <w:rPr>
          <w:rFonts w:eastAsia="georgia" w:cs="georgia" w:ascii="georgia" w:hAnsi="georgia"/>
          <w:color w:val="000000"/>
          <w:sz w:val="21"/>
        </w:rPr>
        <w:t xml:space="preserve">: Analysis of 3,069 hospitalized COVID-19 patients with concurrent SpO₂ and SaO₂ measurements, evaluating racial differences in occult hypoxemia and associated treatment delays.[^4]</w:t>
      </w:r>
    </w:p>
    <w:p>
      <w:pPr>
        <w:numPr>
          <w:ilvl w:val="0"/>
          <w:numId w:val="9"/>
        </w:numPr>
        <w:spacing w:line="360" w:before="105" w:after="105" w:lineRule="auto"/>
      </w:pPr>
      <w:r>
        <w:rPr>
          <w:rFonts w:eastAsia="georgia" w:cs="georgia" w:ascii="georgia" w:hAnsi="georgia"/>
          <w:b/>
          <w:color w:val="000000"/>
          <w:sz w:val="21"/>
        </w:rPr>
        <w:t xml:space="preserve">Fawzy et al., JAMA Network Open 2023</w:t>
      </w:r>
      <w:r>
        <w:rPr>
          <w:rFonts w:eastAsia="georgia" w:cs="georgia" w:ascii="georgia" w:hAnsi="georgia"/>
          <w:color w:val="000000"/>
          <w:sz w:val="21"/>
        </w:rPr>
        <w:t xml:space="preserve">: Multi-center study across four health systems including 24,504 patients, quantifying associations between overestimated SpO₂, delayed COVID-19 therapy, and increased risk of readmission, stratified by race and ethnicity.[^8]</w:t>
      </w:r>
    </w:p>
    <w:p>
      <w:pPr>
        <w:numPr>
          <w:ilvl w:val="0"/>
          <w:numId w:val="9"/>
        </w:numPr>
        <w:spacing w:line="360" w:before="105" w:after="105" w:lineRule="auto"/>
      </w:pPr>
      <w:r>
        <w:rPr>
          <w:rFonts w:eastAsia="georgia" w:cs="georgia" w:ascii="georgia" w:hAnsi="georgia"/>
          <w:b/>
          <w:color w:val="000000"/>
          <w:sz w:val="21"/>
        </w:rPr>
        <w:t xml:space="preserve">VA Evidence Synthesis Program (ESP) Meta-analysis 2021</w:t>
      </w:r>
      <w:r>
        <w:rPr>
          <w:rFonts w:eastAsia="georgia" w:cs="georgia" w:ascii="georgia" w:hAnsi="georgia"/>
          <w:color w:val="000000"/>
          <w:sz w:val="21"/>
        </w:rPr>
        <w:t xml:space="preserve">: Meta-analysis of 21 studies estimating mean SpO₂ − SaO₂ bias and occult hypoxemia prevalence by racial group.[^11]</w:t>
      </w:r>
    </w:p>
    <w:p>
      <w:pPr>
        <w:numPr>
          <w:ilvl w:val="0"/>
          <w:numId w:val="9"/>
        </w:numPr>
        <w:spacing w:line="360" w:before="105" w:after="105" w:lineRule="auto"/>
      </w:pPr>
      <w:r>
        <w:rPr>
          <w:rFonts w:eastAsia="georgia" w:cs="georgia" w:ascii="georgia" w:hAnsi="georgia"/>
          <w:b/>
          <w:color w:val="000000"/>
          <w:sz w:val="21"/>
        </w:rPr>
        <w:t xml:space="preserve">Regulatory and calibration critiques</w:t>
      </w:r>
      <w:r>
        <w:rPr>
          <w:rFonts w:eastAsia="georgia" w:cs="georgia" w:ascii="georgia" w:hAnsi="georgia"/>
          <w:color w:val="000000"/>
          <w:sz w:val="21"/>
        </w:rPr>
        <w:t xml:space="preserve">: Commentaries and reviews explaining how melanin’s optical properties and non-representative calibration cohorts caused systematic measurement bias that was not captured by pre-pandemic FDA clearance pathways.[</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10]</w:t>
      </w:r>
    </w:p>
    <w:p>
      <w:pPr>
        <w:spacing w:line="360" w:before="315" w:after="105" w:lineRule="auto"/>
        <w:ind w:left="-30"/>
        <w:jc w:val="left"/>
      </w:pPr>
      <w:bookmarkStart w:id="17" w:name="bm_3_3_empirical_findings_group_d_f2df28"/>
      <w:r>
        <w:rPr>
          <w:rFonts w:eastAsia="georgia" w:cs="georgia" w:ascii="georgia" w:hAnsi="georgia"/>
          <w:b/>
          <w:color w:val="000000"/>
          <w:sz w:val="24"/>
        </w:rPr>
        <w:t xml:space="preserve">3.3 Empirical findings: group-dependent measurement error</w:t>
      </w:r>
      <w:bookmarkEnd w:id="17"/>
    </w:p>
    <w:p>
      <w:pPr>
        <w:spacing w:line="360" w:before="315" w:after="105" w:lineRule="auto"/>
        <w:ind w:left="-30"/>
        <w:jc w:val="left"/>
      </w:pPr>
      <w:bookmarkStart w:id="18" w:name="bm_3_3_1_occult_hypoxemia_by_race_259a41"/>
      <w:r>
        <w:rPr>
          <w:rFonts w:eastAsia="georgia" w:cs="georgia" w:ascii="georgia" w:hAnsi="georgia"/>
          <w:b/>
          <w:color w:val="000000"/>
          <w:sz w:val="24"/>
        </w:rPr>
        <w:t xml:space="preserve">3.3.1 Occult hypoxemia by race and ethnicity</w:t>
      </w:r>
      <w:bookmarkEnd w:id="18"/>
    </w:p>
    <w:p>
      <w:pPr>
        <w:spacing w:line="360" w:after="210" w:lineRule="auto"/>
      </w:pPr>
      <w:r>
        <w:rPr>
          <w:rFonts w:eastAsia="georgia" w:cs="georgia" w:ascii="georgia" w:hAnsi="georgia"/>
          <w:color w:val="000000"/>
        </w:rPr>
        <w:t xml:space="preserve">Sjoding et al. define occult hypoxemia as true SaO₂ &lt; 88% when the pulse oximeter reads SpO₂ between 92–96%. In their cohort, they report:[^3]</w:t>
      </w:r>
    </w:p>
    <w:p>
      <w:pPr>
        <w:numPr>
          <w:ilvl w:val="0"/>
          <w:numId w:val="10"/>
        </w:numPr>
        <w:spacing w:line="360" w:before="105" w:after="105" w:lineRule="auto"/>
      </w:pPr>
      <w:r>
        <w:rPr>
          <w:rFonts w:eastAsia="georgia" w:cs="georgia" w:ascii="georgia" w:hAnsi="georgia"/>
          <w:color w:val="000000"/>
          <w:sz w:val="21"/>
        </w:rPr>
        <w:t xml:space="preserve">Occult hypoxemia occurred in </w:t>
      </w:r>
      <w:r>
        <w:rPr>
          <w:rFonts w:eastAsia="georgia" w:cs="georgia" w:ascii="georgia" w:hAnsi="georgia"/>
          <w:b/>
          <w:color w:val="000000"/>
          <w:sz w:val="21"/>
        </w:rPr>
        <w:t xml:space="preserve">11.7% of Black patients</w:t>
      </w:r>
      <w:r>
        <w:rPr>
          <w:rFonts w:eastAsia="georgia" w:cs="georgia" w:ascii="georgia" w:hAnsi="georgia"/>
          <w:color w:val="000000"/>
          <w:sz w:val="21"/>
        </w:rPr>
        <w:t xml:space="preserve"> vs. </w:t>
      </w:r>
      <w:r>
        <w:rPr>
          <w:rFonts w:eastAsia="georgia" w:cs="georgia" w:ascii="georgia" w:hAnsi="georgia"/>
          <w:b/>
          <w:color w:val="000000"/>
          <w:sz w:val="21"/>
        </w:rPr>
        <w:t xml:space="preserve">3.6% of White patients</w:t>
      </w:r>
      <w:r>
        <w:rPr>
          <w:rFonts w:eastAsia="georgia" w:cs="georgia" w:ascii="georgia" w:hAnsi="georgia"/>
          <w:color w:val="000000"/>
          <w:sz w:val="21"/>
        </w:rPr>
        <w:t xml:space="preserve">, nearly a </w:t>
      </w:r>
      <w:r>
        <w:rPr>
          <w:rFonts w:eastAsia="georgia" w:cs="georgia" w:ascii="georgia" w:hAnsi="georgia"/>
          <w:b/>
          <w:color w:val="000000"/>
          <w:sz w:val="21"/>
        </w:rPr>
        <w:t xml:space="preserve">3.25-fold difference</w:t>
      </w:r>
      <w:r>
        <w:rPr>
          <w:rFonts w:eastAsia="georgia" w:cs="georgia" w:ascii="georgia" w:hAnsi="georgia"/>
          <w:color w:val="000000"/>
          <w:sz w:val="21"/>
        </w:rPr>
        <w:t xml:space="preserve">.[^3]</w:t>
      </w:r>
    </w:p>
    <w:p>
      <w:pPr>
        <w:numPr>
          <w:ilvl w:val="0"/>
          <w:numId w:val="10"/>
        </w:numPr>
        <w:spacing w:line="360" w:before="105" w:after="105" w:lineRule="auto"/>
      </w:pPr>
      <w:r>
        <w:rPr>
          <w:rFonts w:eastAsia="georgia" w:cs="georgia" w:ascii="georgia" w:hAnsi="georgia"/>
          <w:color w:val="000000"/>
          <w:sz w:val="21"/>
        </w:rPr>
        <w:t xml:space="preserve">Similar directional differences were found for other minority groups, although sample sizes were smaller.</w:t>
      </w:r>
    </w:p>
    <w:p>
      <w:pPr>
        <w:spacing w:line="360" w:after="210" w:lineRule="auto"/>
      </w:pPr>
      <w:r>
        <w:rPr>
          <w:rFonts w:eastAsia="georgia" w:cs="georgia" w:ascii="georgia" w:hAnsi="georgia"/>
          <w:color w:val="000000"/>
        </w:rPr>
        <w:t xml:space="preserve">Fawzy et al. (JAMA Internal Medicine, 2022) observe in hospitalized COVID-19 patients:</w:t>
      </w:r>
    </w:p>
    <w:p>
      <w:pPr>
        <w:numPr>
          <w:ilvl w:val="0"/>
          <w:numId w:val="11"/>
        </w:numPr>
        <w:spacing w:line="360" w:before="105" w:after="105" w:lineRule="auto"/>
      </w:pPr>
      <w:r>
        <w:rPr>
          <w:rFonts w:eastAsia="georgia" w:cs="georgia" w:ascii="georgia" w:hAnsi="georgia"/>
          <w:b/>
          <w:color w:val="000000"/>
          <w:sz w:val="21"/>
        </w:rPr>
        <w:t xml:space="preserve">29.0% of Black patients</w:t>
      </w:r>
      <w:r>
        <w:rPr>
          <w:rFonts w:eastAsia="georgia" w:cs="georgia" w:ascii="georgia" w:hAnsi="georgia"/>
          <w:color w:val="000000"/>
          <w:sz w:val="21"/>
        </w:rPr>
        <w:t xml:space="preserve"> had occult hypoxemia, compared with </w:t>
      </w:r>
      <w:r>
        <w:rPr>
          <w:rFonts w:eastAsia="georgia" w:cs="georgia" w:ascii="georgia" w:hAnsi="georgia"/>
          <w:b/>
          <w:color w:val="000000"/>
          <w:sz w:val="21"/>
        </w:rPr>
        <w:t xml:space="preserve">16.7% of White patients</w:t>
      </w:r>
      <w:r>
        <w:rPr>
          <w:rFonts w:eastAsia="georgia" w:cs="georgia" w:ascii="georgia" w:hAnsi="georgia"/>
          <w:color w:val="000000"/>
          <w:sz w:val="21"/>
        </w:rPr>
        <w:t xml:space="preserve">.[^4]</w:t>
      </w:r>
    </w:p>
    <w:p>
      <w:pPr>
        <w:numPr>
          <w:ilvl w:val="0"/>
          <w:numId w:val="11"/>
        </w:numPr>
        <w:spacing w:line="360" w:before="105" w:after="105" w:lineRule="auto"/>
      </w:pPr>
      <w:r>
        <w:rPr>
          <w:rFonts w:eastAsia="georgia" w:cs="georgia" w:ascii="georgia" w:hAnsi="georgia"/>
          <w:color w:val="000000"/>
          <w:sz w:val="21"/>
        </w:rPr>
        <w:t xml:space="preserve">Hispanic and Asian patients also had higher occult hypoxemia rates than White patients, typically in the 20–24% range.[^4]</w:t>
      </w:r>
    </w:p>
    <w:p>
      <w:pPr>
        <w:spacing w:line="360" w:after="210" w:lineRule="auto"/>
      </w:pPr>
      <w:r>
        <w:rPr>
          <w:rFonts w:eastAsia="georgia" w:cs="georgia" w:ascii="georgia" w:hAnsi="georgia"/>
          <w:color w:val="000000"/>
        </w:rPr>
        <w:t xml:space="preserve">The larger JAMA Network Open study (2023) across four health systems confirms that overestimation of oxygen saturation is more common in Black, Asian, and Hispanic patients and is associated with delayed delivery of COVID-19–specific therapies and higher readmission risk.[^8]</w:t>
      </w:r>
    </w:p>
    <w:p>
      <w:pPr>
        <w:spacing w:line="360" w:after="210" w:lineRule="auto"/>
      </w:pPr>
      <w:r>
        <w:rPr>
          <w:rFonts w:eastAsia="georgia" w:cs="georgia" w:ascii="georgia" w:hAnsi="georgia"/>
          <w:color w:val="000000"/>
        </w:rPr>
        <w:t xml:space="preserve">These findings are summarized below, using representative values from the studies: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 occult hypoxemia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 occult hypoxemia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occult hypoxemia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Asian occult hypoxemia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et al., NEJM 2020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IM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NO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w:t>
            </w:r>
          </w:p>
        </w:tc>
      </w:tr>
    </w:tbl>
    <w:p>
      <w:pPr>
        <w:spacing w:lineRule="auto"/>
      </w:pPr>
    </w:p>
    <w:p>
      <w:pPr>
        <w:spacing w:line="360" w:after="210" w:lineRule="auto"/>
      </w:pPr>
      <w:r>
        <w:rPr>
          <w:rFonts w:eastAsia="georgia" w:cs="georgia" w:ascii="georgia" w:hAnsi="georgia"/>
          <w:color w:val="000000"/>
        </w:rPr>
        <w:t xml:space="preserve">In every dataset, Black patients have the highest rate of occult hypoxemia, followed by Asian and Hispanic patients, with White patients consistently lowest. This pattern holds across different institutions and study designs, strongly supporting a structural, not incidental, measurement bias.[</w:t>
      </w:r>
      <w:r>
        <w:rPr>
          <w:rFonts w:eastAsia="georgia" w:cs="georgia" w:ascii="georgia" w:hAnsi="georgia"/>
          <w:color w:val="000000"/>
          <w:vertAlign w:val="superscript"/>
        </w:rPr>
        <w:t xml:space="preserve">8][</w:t>
      </w:r>
      <w:r>
        <w:rPr>
          <w:rFonts w:eastAsia="georgia" w:cs="georgia" w:ascii="georgia" w:hAnsi="georgia"/>
          <w:color w:val="000000"/>
        </w:rPr>
        <w:t xml:space="preserve">3][^4]</w:t>
      </w:r>
    </w:p>
    <w:p>
      <w:pPr>
        <w:spacing w:line="360" w:before="315" w:after="105" w:lineRule="auto"/>
        <w:ind w:left="-30"/>
        <w:jc w:val="left"/>
      </w:pPr>
      <w:bookmarkStart w:id="19" w:name="bm_3_3_2_mean_spo₂_sao₂_bias_by_race"/>
      <w:r>
        <w:rPr>
          <w:rFonts w:eastAsia="georgia" w:cs="georgia" w:ascii="georgia" w:hAnsi="georgia"/>
          <w:b/>
          <w:color w:val="000000"/>
          <w:sz w:val="24"/>
        </w:rPr>
        <w:t xml:space="preserve">3.3.2 Mean SpO₂ − SaO₂ bias by race</w:t>
      </w:r>
      <w:bookmarkEnd w:id="19"/>
    </w:p>
    <w:p>
      <w:pPr>
        <w:spacing w:line="360" w:after="210" w:lineRule="auto"/>
      </w:pPr>
      <w:r>
        <w:rPr>
          <w:rFonts w:eastAsia="georgia" w:cs="georgia" w:ascii="georgia" w:hAnsi="georgia"/>
          <w:color w:val="000000"/>
        </w:rPr>
        <w:t xml:space="preserve">The VA ESP meta-analysis quantifies the average bias in pulse oximetry readings relative to arterial oxygen saturation:</w:t>
      </w:r>
    </w:p>
    <w:p>
      <w:pPr>
        <w:numPr>
          <w:ilvl w:val="0"/>
          <w:numId w:val="12"/>
        </w:numPr>
        <w:spacing w:line="360" w:before="105" w:after="105" w:lineRule="auto"/>
      </w:pPr>
      <w:r>
        <w:rPr>
          <w:rFonts w:eastAsia="georgia" w:cs="georgia" w:ascii="georgia" w:hAnsi="georgia"/>
          <w:b/>
          <w:color w:val="000000"/>
          <w:sz w:val="21"/>
        </w:rPr>
        <w:t xml:space="preserve">Black patients</w:t>
      </w:r>
      <w:r>
        <w:rPr>
          <w:rFonts w:eastAsia="georgia" w:cs="georgia" w:ascii="georgia" w:hAnsi="georgia"/>
          <w:color w:val="000000"/>
          <w:sz w:val="21"/>
        </w:rPr>
        <w:t xml:space="preserve">: mean SpO₂ − SaO₂ bias of approximately </w:t>
      </w:r>
      <w:r>
        <w:rPr>
          <w:rFonts w:eastAsia="georgia" w:cs="georgia" w:ascii="georgia" w:hAnsi="georgia"/>
          <w:b/>
          <w:color w:val="000000"/>
          <w:sz w:val="21"/>
        </w:rPr>
        <w:t xml:space="preserve">+1.5 to +1.7 percentage points</w:t>
      </w:r>
      <w:r>
        <w:rPr>
          <w:rFonts w:eastAsia="georgia" w:cs="georgia" w:ascii="georgia" w:hAnsi="georgia"/>
          <w:color w:val="000000"/>
          <w:sz w:val="21"/>
        </w:rPr>
        <w:t xml:space="preserve">.[^11]</w:t>
      </w:r>
    </w:p>
    <w:p>
      <w:pPr>
        <w:numPr>
          <w:ilvl w:val="0"/>
          <w:numId w:val="12"/>
        </w:numPr>
        <w:spacing w:line="360" w:before="105" w:after="105" w:lineRule="auto"/>
      </w:pPr>
      <w:r>
        <w:rPr>
          <w:rFonts w:eastAsia="georgia" w:cs="georgia" w:ascii="georgia" w:hAnsi="georgia"/>
          <w:b/>
          <w:color w:val="000000"/>
          <w:sz w:val="21"/>
        </w:rPr>
        <w:t xml:space="preserve">Asian patients</w:t>
      </w:r>
      <w:r>
        <w:rPr>
          <w:rFonts w:eastAsia="georgia" w:cs="georgia" w:ascii="georgia" w:hAnsi="georgia"/>
          <w:color w:val="000000"/>
          <w:sz w:val="21"/>
        </w:rPr>
        <w:t xml:space="preserve">: mean bias around </w:t>
      </w:r>
      <w:r>
        <w:rPr>
          <w:rFonts w:eastAsia="georgia" w:cs="georgia" w:ascii="georgia" w:hAnsi="georgia"/>
          <w:b/>
          <w:color w:val="000000"/>
          <w:sz w:val="21"/>
        </w:rPr>
        <w:t xml:space="preserve">+1.3 percentage points</w:t>
      </w:r>
      <w:r>
        <w:rPr>
          <w:rFonts w:eastAsia="georgia" w:cs="georgia" w:ascii="georgia" w:hAnsi="georgia"/>
          <w:color w:val="000000"/>
          <w:sz w:val="21"/>
        </w:rPr>
        <w:t xml:space="preserve">.[^11]</w:t>
      </w:r>
    </w:p>
    <w:p>
      <w:pPr>
        <w:numPr>
          <w:ilvl w:val="0"/>
          <w:numId w:val="12"/>
        </w:numPr>
        <w:spacing w:line="360" w:before="105" w:after="105" w:lineRule="auto"/>
      </w:pPr>
      <w:r>
        <w:rPr>
          <w:rFonts w:eastAsia="georgia" w:cs="georgia" w:ascii="georgia" w:hAnsi="georgia"/>
          <w:b/>
          <w:color w:val="000000"/>
          <w:sz w:val="21"/>
        </w:rPr>
        <w:t xml:space="preserve">Hispanic patients</w:t>
      </w:r>
      <w:r>
        <w:rPr>
          <w:rFonts w:eastAsia="georgia" w:cs="georgia" w:ascii="georgia" w:hAnsi="georgia"/>
          <w:color w:val="000000"/>
          <w:sz w:val="21"/>
        </w:rPr>
        <w:t xml:space="preserve">: mean bias around </w:t>
      </w:r>
      <w:r>
        <w:rPr>
          <w:rFonts w:eastAsia="georgia" w:cs="georgia" w:ascii="georgia" w:hAnsi="georgia"/>
          <w:b/>
          <w:color w:val="000000"/>
          <w:sz w:val="21"/>
        </w:rPr>
        <w:t xml:space="preserve">+0.9 percentage points</w:t>
      </w:r>
      <w:r>
        <w:rPr>
          <w:rFonts w:eastAsia="georgia" w:cs="georgia" w:ascii="georgia" w:hAnsi="georgia"/>
          <w:color w:val="000000"/>
          <w:sz w:val="21"/>
        </w:rPr>
        <w:t xml:space="preserve">.[^11]</w:t>
      </w:r>
    </w:p>
    <w:p>
      <w:pPr>
        <w:numPr>
          <w:ilvl w:val="0"/>
          <w:numId w:val="12"/>
        </w:numPr>
        <w:spacing w:line="360" w:before="105" w:after="105" w:lineRule="auto"/>
      </w:pPr>
      <w:r>
        <w:rPr>
          <w:rFonts w:eastAsia="georgia" w:cs="georgia" w:ascii="georgia" w:hAnsi="georgia"/>
          <w:b/>
          <w:color w:val="000000"/>
          <w:sz w:val="21"/>
        </w:rPr>
        <w:t xml:space="preserve">White patients</w:t>
      </w:r>
      <w:r>
        <w:rPr>
          <w:rFonts w:eastAsia="georgia" w:cs="georgia" w:ascii="georgia" w:hAnsi="georgia"/>
          <w:color w:val="000000"/>
          <w:sz w:val="21"/>
        </w:rPr>
        <w:t xml:space="preserve">: mean bias around </w:t>
      </w:r>
      <w:r>
        <w:rPr>
          <w:rFonts w:eastAsia="georgia" w:cs="georgia" w:ascii="georgia" w:hAnsi="georgia"/>
          <w:b/>
          <w:color w:val="000000"/>
          <w:sz w:val="21"/>
        </w:rPr>
        <w:t xml:space="preserve">+0.5 percentage points</w:t>
      </w:r>
      <w:r>
        <w:rPr>
          <w:rFonts w:eastAsia="georgia" w:cs="georgia" w:ascii="georgia" w:hAnsi="georgia"/>
          <w:color w:val="000000"/>
          <w:sz w:val="21"/>
        </w:rPr>
        <w:t xml:space="preserve">.[^11]</w:t>
      </w:r>
    </w:p>
    <w:p>
      <w:pPr>
        <w:spacing w:line="360" w:after="210" w:lineRule="auto"/>
      </w:pPr>
      <w:r>
        <w:rPr>
          <w:rFonts w:eastAsia="georgia" w:cs="georgia" w:ascii="georgia" w:hAnsi="georgia"/>
          <w:color w:val="000000"/>
        </w:rPr>
        <w:t xml:space="preserve">These estimates show that the device systematically reads higher than the true SaO₂ in all groups, but the overestimation is </w:t>
      </w:r>
      <w:r>
        <w:rPr>
          <w:rFonts w:eastAsia="georgia" w:cs="georgia" w:ascii="georgia" w:hAnsi="georgia"/>
          <w:b/>
          <w:color w:val="000000"/>
        </w:rPr>
        <w:t xml:space="preserve">roughly three times larger in Black patients than in White patients</w:t>
      </w:r>
      <w:r>
        <w:rPr>
          <w:rFonts w:eastAsia="georgia" w:cs="georgia" w:ascii="georgia" w:hAnsi="georgia"/>
          <w:color w:val="000000"/>
        </w:rPr>
        <w:t xml:space="preserve">. Because clinical decision thresholds are defined at specific SpO₂ cutoffs, these small average differences translate into large group differences in who crosses treatment thresholds.[^11]</w:t>
      </w:r>
    </w:p>
    <w:p>
      <w:pPr>
        <w:spacing w:line="360" w:before="315" w:after="105" w:lineRule="auto"/>
        <w:ind w:left="-30"/>
        <w:jc w:val="left"/>
      </w:pPr>
      <w:bookmarkStart w:id="20" w:name="bm_3_4_clinical_consequences_dela_a1356d"/>
      <w:r>
        <w:rPr>
          <w:rFonts w:eastAsia="georgia" w:cs="georgia" w:ascii="georgia" w:hAnsi="georgia"/>
          <w:b/>
          <w:color w:val="000000"/>
          <w:sz w:val="24"/>
        </w:rPr>
        <w:t xml:space="preserve">3.4 Clinical consequences: delayed treatment and readmission</w:t>
      </w:r>
      <w:bookmarkEnd w:id="20"/>
    </w:p>
    <w:p>
      <w:pPr>
        <w:spacing w:line="360" w:after="210" w:lineRule="auto"/>
      </w:pPr>
      <w:r>
        <w:rPr>
          <w:rFonts w:eastAsia="georgia" w:cs="georgia" w:ascii="georgia" w:hAnsi="georgia"/>
          <w:color w:val="000000"/>
        </w:rPr>
        <w:t xml:space="preserve">The JAMA Network Open multi-site study and related analyses link group-dependent measurement error to concrete clinical consequences:</w:t>
      </w:r>
    </w:p>
    <w:p>
      <w:pPr>
        <w:numPr>
          <w:ilvl w:val="0"/>
          <w:numId w:val="13"/>
        </w:numPr>
        <w:spacing w:line="360" w:before="105" w:after="105" w:lineRule="auto"/>
      </w:pPr>
      <w:r>
        <w:rPr>
          <w:rFonts w:eastAsia="georgia" w:cs="georgia" w:ascii="georgia" w:hAnsi="georgia"/>
          <w:color w:val="000000"/>
          <w:sz w:val="21"/>
        </w:rPr>
        <w:t xml:space="preserve">Overestimated SpO₂ values in minority patients lead to </w:t>
      </w:r>
      <w:r>
        <w:rPr>
          <w:rFonts w:eastAsia="georgia" w:cs="georgia" w:ascii="georgia" w:hAnsi="georgia"/>
          <w:b/>
          <w:color w:val="000000"/>
          <w:sz w:val="21"/>
        </w:rPr>
        <w:t xml:space="preserve">delayed recognition of hypoxemia</w:t>
      </w:r>
      <w:r>
        <w:rPr>
          <w:rFonts w:eastAsia="georgia" w:cs="georgia" w:ascii="georgia" w:hAnsi="georgia"/>
          <w:color w:val="000000"/>
          <w:sz w:val="21"/>
        </w:rPr>
        <w:t xml:space="preserve">, resulting in delayed initiation of oxygen therapy and dexamethasone.[</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12]</w:t>
      </w:r>
    </w:p>
    <w:p>
      <w:pPr>
        <w:numPr>
          <w:ilvl w:val="0"/>
          <w:numId w:val="13"/>
        </w:numPr>
        <w:spacing w:line="360" w:before="105" w:after="105" w:lineRule="auto"/>
      </w:pPr>
      <w:r>
        <w:rPr>
          <w:rFonts w:eastAsia="georgia" w:cs="georgia" w:ascii="georgia" w:hAnsi="georgia"/>
          <w:color w:val="000000"/>
          <w:sz w:val="21"/>
        </w:rPr>
        <w:t xml:space="preserve">One health system analysis (Sutter Health) estimated that pulse oximeter bias could delay supplemental oxygen by roughly </w:t>
      </w:r>
      <w:r>
        <w:rPr>
          <w:rFonts w:eastAsia="georgia" w:cs="georgia" w:ascii="georgia" w:hAnsi="georgia"/>
          <w:b/>
          <w:color w:val="000000"/>
          <w:sz w:val="21"/>
        </w:rPr>
        <w:t xml:space="preserve">4.5 hours</w:t>
      </w:r>
      <w:r>
        <w:rPr>
          <w:rFonts w:eastAsia="georgia" w:cs="georgia" w:ascii="georgia" w:hAnsi="georgia"/>
          <w:color w:val="000000"/>
          <w:sz w:val="21"/>
        </w:rPr>
        <w:t xml:space="preserve"> and dexamethasone by roughly </w:t>
      </w:r>
      <w:r>
        <w:rPr>
          <w:rFonts w:eastAsia="georgia" w:cs="georgia" w:ascii="georgia" w:hAnsi="georgia"/>
          <w:b/>
          <w:color w:val="000000"/>
          <w:sz w:val="21"/>
        </w:rPr>
        <w:t xml:space="preserve">37 minutes</w:t>
      </w:r>
      <w:r>
        <w:rPr>
          <w:rFonts w:eastAsia="georgia" w:cs="georgia" w:ascii="georgia" w:hAnsi="georgia"/>
          <w:color w:val="000000"/>
          <w:sz w:val="21"/>
        </w:rPr>
        <w:t xml:space="preserve"> for Black COVID-19 patients, compared to a counterfactual without such bias.[</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p>
    <w:p>
      <w:pPr>
        <w:numPr>
          <w:ilvl w:val="0"/>
          <w:numId w:val="13"/>
        </w:numPr>
        <w:spacing w:line="360" w:before="105" w:after="105" w:lineRule="auto"/>
      </w:pPr>
      <w:r>
        <w:rPr>
          <w:rFonts w:eastAsia="georgia" w:cs="georgia" w:ascii="georgia" w:hAnsi="georgia"/>
          <w:color w:val="000000"/>
          <w:sz w:val="21"/>
        </w:rPr>
        <w:t xml:space="preserve">Patients with occult hypoxemia had </w:t>
      </w:r>
      <w:r>
        <w:rPr>
          <w:rFonts w:eastAsia="georgia" w:cs="georgia" w:ascii="georgia" w:hAnsi="georgia"/>
          <w:b/>
          <w:color w:val="000000"/>
          <w:sz w:val="21"/>
        </w:rPr>
        <w:t xml:space="preserve">higher odds of 30-day readmission</w:t>
      </w:r>
      <w:r>
        <w:rPr>
          <w:rFonts w:eastAsia="georgia" w:cs="georgia" w:ascii="georgia" w:hAnsi="georgia"/>
          <w:color w:val="000000"/>
          <w:sz w:val="21"/>
        </w:rPr>
        <w:t xml:space="preserve">, with odds ratios around 1.3 in adjusted models.[^8]</w:t>
      </w:r>
    </w:p>
    <w:p>
      <w:pPr>
        <w:spacing w:line="360" w:after="210" w:lineRule="auto"/>
      </w:pPr>
      <w:r>
        <w:rPr>
          <w:rFonts w:eastAsia="georgia" w:cs="georgia" w:ascii="georgia" w:hAnsi="georgia"/>
          <w:color w:val="000000"/>
        </w:rPr>
        <w:t xml:space="preserve">Because Black and Hispanic patients already faced higher baseline risk of severe COVID-19 due to comorbidities and structural factors, these additional delays compound existing disparities.[</w:t>
      </w:r>
      <w:r>
        <w:rPr>
          <w:rFonts w:eastAsia="georgia" w:cs="georgia" w:ascii="georgia" w:hAnsi="georgia"/>
          <w:color w:val="000000"/>
          <w:vertAlign w:val="superscript"/>
        </w:rPr>
        <w:t xml:space="preserve">5][</w:t>
      </w:r>
      <w:r>
        <w:rPr>
          <w:rFonts w:eastAsia="georgia" w:cs="georgia" w:ascii="georgia" w:hAnsi="georgia"/>
          <w:color w:val="000000"/>
        </w:rPr>
        <w:t xml:space="preserve">14]</w:t>
      </w:r>
    </w:p>
    <w:p>
      <w:pPr>
        <w:spacing w:line="360" w:before="315" w:after="105" w:lineRule="auto"/>
        <w:ind w:left="-30"/>
        <w:jc w:val="left"/>
      </w:pPr>
      <w:bookmarkStart w:id="21" w:name="bm_3_5_confusion_matrix_of_diagno_391733"/>
      <w:r>
        <w:rPr>
          <w:rFonts w:eastAsia="georgia" w:cs="georgia" w:ascii="georgia" w:hAnsi="georgia"/>
          <w:b/>
          <w:color w:val="000000"/>
          <w:sz w:val="24"/>
        </w:rPr>
        <w:t xml:space="preserve">3.5 Confusion matrix of diagnostic decisions</w:t>
      </w:r>
      <w:bookmarkEnd w:id="21"/>
    </w:p>
    <w:p>
      <w:pPr>
        <w:spacing w:line="360" w:after="210" w:lineRule="auto"/>
      </w:pPr>
      <w:r>
        <w:rPr>
          <w:rFonts w:eastAsia="georgia" w:cs="georgia" w:ascii="georgia" w:hAnsi="georgia"/>
          <w:color w:val="000000"/>
        </w:rPr>
        <w:t xml:space="preserve">The diagnostic decision pipeline can also be represented with a confusion-matrix-style structure, treating the presence of true hypoxemia (SaO₂ &lt; 88%) as the ground truth label and the pulse oximeter–based clinical decision (treat vs. do not treat) as the prediction.</w:t>
      </w:r>
    </w:p>
    <w:p>
      <w:pPr>
        <w:spacing w:line="360" w:after="210" w:lineRule="auto"/>
      </w:pPr>
      <w:r>
        <w:rPr>
          <w:rFonts w:eastAsia="georgia" w:cs="georgia" w:ascii="georgia" w:hAnsi="georgia"/>
          <w:color w:val="000000"/>
        </w:rPr>
        <w:t xml:space="preserve">Define:</w:t>
      </w:r>
    </w:p>
    <w:p>
      <w:pPr>
        <w:numPr>
          <w:ilvl w:val="0"/>
          <w:numId w:val="14"/>
        </w:numPr>
        <w:spacing w:line="360" w:before="105" w:after="105" w:lineRule="auto"/>
      </w:pPr>
      <w:r>
        <w:rPr>
          <w:rFonts w:eastAsia="georgia" w:cs="georgia" w:ascii="georgia" w:hAnsi="georgia"/>
          <w:b/>
          <w:color w:val="000000"/>
          <w:sz w:val="21"/>
        </w:rPr>
        <w:t xml:space="preserve">Positive</w:t>
      </w:r>
      <w:r>
        <w:rPr>
          <w:rFonts w:eastAsia="georgia" w:cs="georgia" w:ascii="georgia" w:hAnsi="georgia"/>
          <w:color w:val="000000"/>
          <w:sz w:val="21"/>
        </w:rPr>
        <w:t xml:space="preserve">: true hypoxemia (SaO₂ &lt; 88%).</w:t>
      </w:r>
    </w:p>
    <w:p>
      <w:pPr>
        <w:numPr>
          <w:ilvl w:val="0"/>
          <w:numId w:val="14"/>
        </w:numPr>
        <w:spacing w:line="360" w:before="105" w:after="105" w:lineRule="auto"/>
      </w:pPr>
      <w:r>
        <w:rPr>
          <w:rFonts w:eastAsia="georgia" w:cs="georgia" w:ascii="georgia" w:hAnsi="georgia"/>
          <w:b/>
          <w:color w:val="000000"/>
          <w:sz w:val="21"/>
        </w:rPr>
        <w:t xml:space="preserve">Negative</w:t>
      </w:r>
      <w:r>
        <w:rPr>
          <w:rFonts w:eastAsia="georgia" w:cs="georgia" w:ascii="georgia" w:hAnsi="georgia"/>
          <w:color w:val="000000"/>
          <w:sz w:val="21"/>
        </w:rPr>
        <w:t xml:space="preserve">: no hypoxemia (SaO₂ ≥ 88%).</w:t>
      </w:r>
    </w:p>
    <w:p>
      <w:pPr>
        <w:numPr>
          <w:ilvl w:val="0"/>
          <w:numId w:val="14"/>
        </w:numPr>
        <w:spacing w:line="360" w:before="105" w:after="105" w:lineRule="auto"/>
      </w:pPr>
      <w:r>
        <w:rPr>
          <w:rFonts w:eastAsia="georgia" w:cs="georgia" w:ascii="georgia" w:hAnsi="georgia"/>
          <w:b/>
          <w:color w:val="000000"/>
          <w:sz w:val="21"/>
        </w:rPr>
        <w:t xml:space="preserve">Predicted positive</w:t>
      </w:r>
      <w:r>
        <w:rPr>
          <w:rFonts w:eastAsia="georgia" w:cs="georgia" w:ascii="georgia" w:hAnsi="georgia"/>
          <w:color w:val="000000"/>
          <w:sz w:val="21"/>
        </w:rPr>
        <w:t xml:space="preserve">: decision to treat/escalate (e.g., supplemental oxygen, hospitalization, or ordering an arterial blood gas).</w:t>
      </w:r>
    </w:p>
    <w:p>
      <w:pPr>
        <w:numPr>
          <w:ilvl w:val="0"/>
          <w:numId w:val="14"/>
        </w:numPr>
        <w:spacing w:line="360" w:before="105" w:after="105" w:lineRule="auto"/>
      </w:pPr>
      <w:r>
        <w:rPr>
          <w:rFonts w:eastAsia="georgia" w:cs="georgia" w:ascii="georgia" w:hAnsi="georgia"/>
          <w:b/>
          <w:color w:val="000000"/>
          <w:sz w:val="21"/>
        </w:rPr>
        <w:t xml:space="preserve">Predicted negative</w:t>
      </w:r>
      <w:r>
        <w:rPr>
          <w:rFonts w:eastAsia="georgia" w:cs="georgia" w:ascii="georgia" w:hAnsi="georgia"/>
          <w:color w:val="000000"/>
          <w:sz w:val="21"/>
        </w:rPr>
        <w:t xml:space="preserve">: decision to withhold treatment or discharge.</w:t>
      </w:r>
    </w:p>
    <w:p>
      <w:pPr>
        <w:spacing w:line="360" w:after="210" w:lineRule="auto"/>
      </w:pPr>
      <w:r>
        <w:rPr>
          <w:rFonts w:eastAsia="georgia" w:cs="georgia" w:ascii="georgia" w:hAnsi="georgia"/>
          <w:color w:val="000000"/>
        </w:rPr>
        <w:t xml:space="preserve">Under the standard single-threshold policy (treat if SpO₂ &lt; 92%), the confusion matrix for each group can be conceptualized as: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True hypoxemia (SaO₂ &lt; 88%)</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No hypoxemia (SaO₂ ≥ 88%)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Treat (SpO₂ &lt; 92%)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True positive (TP): correctly treated hypoxemic patients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False positive (FP): unnecessary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 not treat (SpO₂ ≥ 92%)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False negative (FN): occult hypoxemia, missed treatment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True negative (TN): correctly withheld treatment</w:t>
            </w:r>
          </w:p>
        </w:tc>
      </w:tr>
    </w:tbl>
    <w:p>
      <w:pPr>
        <w:spacing w:lineRule="auto"/>
      </w:pPr>
    </w:p>
    <w:p>
      <w:pPr>
        <w:spacing w:line="360" w:after="210" w:lineRule="auto"/>
      </w:pPr>
      <w:r>
        <w:rPr>
          <w:rFonts w:eastAsia="georgia" w:cs="georgia" w:ascii="georgia" w:hAnsi="georgia"/>
          <w:color w:val="000000"/>
        </w:rPr>
        <w:t xml:space="preserve">The empirical findings summarized above imply that, at the same SpO₂ threshold:</w:t>
      </w:r>
    </w:p>
    <w:p>
      <w:pPr>
        <w:numPr>
          <w:ilvl w:val="0"/>
          <w:numId w:val="15"/>
        </w:numPr>
        <w:spacing w:line="360" w:before="105" w:after="105" w:lineRule="auto"/>
      </w:pPr>
      <w:r>
        <w:rPr>
          <w:rFonts w:eastAsia="georgia" w:cs="georgia" w:ascii="georgia" w:hAnsi="georgia"/>
          <w:b/>
          <w:color w:val="000000"/>
          <w:sz w:val="21"/>
        </w:rPr>
        <w:t xml:space="preserve">Black patients have a much higher FN rate (occult hypoxemia) than White patients</w:t>
      </w:r>
      <w:r>
        <w:rPr>
          <w:rFonts w:eastAsia="georgia" w:cs="georgia" w:ascii="georgia" w:hAnsi="georgia"/>
          <w:color w:val="000000"/>
          <w:sz w:val="21"/>
        </w:rPr>
        <w:t xml:space="preserve">, often by a factor of 2–3.[</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3][^4]</w:t>
      </w:r>
    </w:p>
    <w:p>
      <w:pPr>
        <w:numPr>
          <w:ilvl w:val="0"/>
          <w:numId w:val="15"/>
        </w:numPr>
        <w:spacing w:line="360" w:before="105" w:after="105" w:lineRule="auto"/>
      </w:pPr>
      <w:r>
        <w:rPr>
          <w:rFonts w:eastAsia="georgia" w:cs="georgia" w:ascii="georgia" w:hAnsi="georgia"/>
          <w:color w:val="000000"/>
          <w:sz w:val="21"/>
        </w:rPr>
        <w:t xml:space="preserve">False positives (unnecessary treatment) may be more common in White patients, since the device overestimates less and they are less likely to be truly hypoxemic at the same SpO₂ values.</w:t>
      </w:r>
    </w:p>
    <w:p>
      <w:pPr>
        <w:spacing w:line="360" w:after="210" w:lineRule="auto"/>
      </w:pPr>
      <w:r>
        <w:rPr>
          <w:rFonts w:eastAsia="georgia" w:cs="georgia" w:ascii="georgia" w:hAnsi="georgia"/>
          <w:color w:val="000000"/>
        </w:rPr>
        <w:t xml:space="preserve">This skewed error distribution is analogous to the test routing confusion matrix in case 1: the measurement system is more likely to miss positive cases in minority groups than in White patients at identical nominal readings.</w:t>
      </w:r>
    </w:p>
    <w:p>
      <w:pPr>
        <w:spacing w:line="360" w:before="315" w:after="105" w:lineRule="auto"/>
        <w:ind w:left="-30"/>
        <w:jc w:val="left"/>
      </w:pPr>
      <w:bookmarkStart w:id="22" w:name="bm_3_6_fairness_aware_bandit_poli_2a20b3"/>
      <w:r>
        <w:rPr>
          <w:rFonts w:eastAsia="georgia" w:cs="georgia" w:ascii="georgia" w:hAnsi="georgia"/>
          <w:b/>
          <w:color w:val="000000"/>
          <w:sz w:val="24"/>
        </w:rPr>
        <w:t xml:space="preserve">3.6 Fairness-aware bandit policy for diagnostic decisions</w:t>
      </w:r>
      <w:bookmarkEnd w:id="22"/>
    </w:p>
    <w:p>
      <w:pPr>
        <w:spacing w:line="360" w:after="210" w:lineRule="auto"/>
      </w:pPr>
      <w:r>
        <w:rPr>
          <w:rFonts w:eastAsia="georgia" w:cs="georgia" w:ascii="georgia" w:hAnsi="georgia"/>
          <w:color w:val="000000"/>
        </w:rPr>
        <w:t xml:space="preserve">A bandit formulation can model the sequential diagnostic decision of when to escalate care based on pulse oximetry and other features. The </w:t>
      </w:r>
      <w:r>
        <w:rPr>
          <w:rFonts w:eastAsia="georgia" w:cs="georgia" w:ascii="georgia" w:hAnsi="georgia"/>
          <w:b/>
          <w:color w:val="000000"/>
        </w:rPr>
        <w:t xml:space="preserve">baseline policy</w:t>
      </w:r>
      <w:r>
        <w:rPr>
          <w:rFonts w:eastAsia="georgia" w:cs="georgia" w:ascii="georgia" w:hAnsi="georgia"/>
          <w:color w:val="000000"/>
        </w:rPr>
        <w:t xml:space="preserve"> uses a single, group-agnostic SpO₂ threshold. A fairness-aware contextual bandit can instead learn and apply group-calibrated decision rules that reduce disparities in missed hypoxemia.</w:t>
      </w:r>
    </w:p>
    <w:p>
      <w:pPr>
        <w:spacing w:line="360" w:before="315" w:after="105" w:lineRule="auto"/>
        <w:ind w:left="-30"/>
        <w:jc w:val="left"/>
      </w:pPr>
      <w:bookmarkStart w:id="23" w:name="bm_3_6_1_context_and_actions"/>
      <w:r>
        <w:rPr>
          <w:rFonts w:eastAsia="georgia" w:cs="georgia" w:ascii="georgia" w:hAnsi="georgia"/>
          <w:b/>
          <w:color w:val="000000"/>
          <w:sz w:val="24"/>
        </w:rPr>
        <w:t xml:space="preserve">3.6.1 Context and actions</w:t>
      </w:r>
      <w:bookmarkEnd w:id="23"/>
    </w:p>
    <w:p>
      <w:pPr>
        <w:spacing w:line="360" w:after="210" w:lineRule="auto"/>
      </w:pPr>
      <w:r>
        <w:rPr>
          <w:rFonts w:eastAsia="georgia" w:cs="georgia" w:ascii="georgia" w:hAnsi="georgia"/>
          <w:color w:val="000000"/>
        </w:rPr>
        <w:t xml:space="preserve">For each patient </w:t>
      </w:r>
      <m:oMath>
        <m:r>
          <m:rPr>
            <m:sty m:val="i"/>
          </m:rPr>
          <w:rPr>
            <w:color w:val="000000"/>
          </w:rPr>
          <m:t>p</m:t>
        </m:r>
      </m:oMath>
      <w:r>
        <w:rPr>
          <w:rFonts w:eastAsia="georgia" w:cs="georgia" w:ascii="georgia" w:hAnsi="georgia"/>
          <w:color w:val="000000"/>
        </w:rPr>
        <w:t xml:space="preserve">, define a context vector:</w:t>
      </w:r>
    </w:p>
    <w:p>
      <w:pPr>
        <w:spacing w:line="360" w:after="210" w:lineRule="auto"/>
      </w:pPr>
      <m:oMath>
        <m:sSub>
          <m:sSubPr>
            <m:ctrlPr>
              <w:rPr>
                <w:rFonts w:ascii="Cambria Math" w:hAnsi="Cambria Math"/>
                <w:color w:val="000000"/>
              </w:rPr>
            </m:ctrlPr>
          </m:sSubPr>
          <m:e>
            <m:r>
              <m:rPr>
                <m:sty m:val="i"/>
              </m:rPr>
              <w:rPr>
                <w:color w:val="000000"/>
              </w:rPr>
              <m:t>x</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SpO</m:t>
            </m:r>
          </m:e>
          <m:sub>
            <m:r>
              <m:rPr>
                <m:sty m:val="p"/>
              </m:rPr>
              <w:rPr>
                <w:color w:val="000000"/>
              </w:rPr>
              <m:t>2</m:t>
            </m:r>
            <m:r>
              <m:rPr>
                <m:sty m:val="p"/>
              </m:rPr>
              <w:rPr>
                <w:color w:val="000000"/>
              </w:rPr>
              <m:t>,</m:t>
            </m:r>
            <m:r>
              <m:rPr>
                <m:sty m:val="i"/>
              </m:rPr>
              <w:rPr>
                <w:color w:val="000000"/>
              </w:rPr>
              <m:t>p</m:t>
            </m:r>
          </m:sub>
        </m:sSub>
        <m:r>
          <m:rPr>
            <m:sty m:val="p"/>
          </m:rPr>
          <w:rPr>
            <w:color w:val="000000"/>
          </w:rPr>
          <m:t>,</m:t>
        </m:r>
        <m:r>
          <m:rPr>
            <m:nor/>
          </m:rPr>
          <w:rPr>
            <w:color w:val="000000"/>
          </w:rPr>
        </m:r>
      </m:oMath>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Possible actions include:</w:t>
      </w:r>
    </w:p>
    <w:p>
      <w:pPr>
        <w:numPr>
          <w:ilvl w:val="0"/>
          <w:numId w:val="16"/>
        </w:numPr>
        <w:spacing w:line="360" w:before="105" w:after="105" w:lineRule="auto"/>
      </w:pPr>
      <w:r>
        <w:rPr>
          <w:rFonts w:eastAsia="georgia" w:cs="georgia" w:ascii="georgia" w:hAnsi="georgia"/>
          <w:b/>
          <w:color w:val="000000"/>
          <w:sz w:val="21"/>
        </w:rPr>
        <w:t xml:space="preserve">Treat now</w:t>
      </w:r>
      <w:r>
        <w:rPr>
          <w:rFonts w:eastAsia="georgia" w:cs="georgia" w:ascii="georgia" w:hAnsi="georgia"/>
          <w:color w:val="000000"/>
          <w:sz w:val="21"/>
        </w:rPr>
        <w:t xml:space="preserve">: initiate supplemental oxygen or escalate level of care.</w:t>
      </w:r>
    </w:p>
    <w:p>
      <w:pPr>
        <w:numPr>
          <w:ilvl w:val="0"/>
          <w:numId w:val="16"/>
        </w:numPr>
        <w:spacing w:line="360" w:before="105" w:after="105" w:lineRule="auto"/>
      </w:pPr>
      <w:r>
        <w:rPr>
          <w:rFonts w:eastAsia="georgia" w:cs="georgia" w:ascii="georgia" w:hAnsi="georgia"/>
          <w:b/>
          <w:color w:val="000000"/>
          <w:sz w:val="21"/>
        </w:rPr>
        <w:t xml:space="preserve">Watch and wait</w:t>
      </w:r>
      <w:r>
        <w:rPr>
          <w:rFonts w:eastAsia="georgia" w:cs="georgia" w:ascii="georgia" w:hAnsi="georgia"/>
          <w:color w:val="000000"/>
          <w:sz w:val="21"/>
        </w:rPr>
        <w:t xml:space="preserve">: continue observation without escalation.</w:t>
      </w:r>
    </w:p>
    <w:p>
      <w:pPr>
        <w:numPr>
          <w:ilvl w:val="0"/>
          <w:numId w:val="16"/>
        </w:numPr>
        <w:spacing w:line="360" w:before="105" w:after="105" w:lineRule="auto"/>
      </w:pPr>
      <w:r>
        <w:rPr>
          <w:rFonts w:eastAsia="georgia" w:cs="georgia" w:ascii="georgia" w:hAnsi="georgia"/>
          <w:b/>
          <w:color w:val="000000"/>
          <w:sz w:val="21"/>
        </w:rPr>
        <w:t xml:space="preserve">Order confirmatory arterial blood gas (ABG)</w:t>
      </w:r>
      <w:r>
        <w:rPr>
          <w:rFonts w:eastAsia="georgia" w:cs="georgia" w:ascii="georgia" w:hAnsi="georgia"/>
          <w:color w:val="000000"/>
          <w:sz w:val="21"/>
        </w:rPr>
        <w:t xml:space="preserve">: obtain SaO₂ measurement at some resource cost.</w:t>
      </w:r>
    </w:p>
    <w:p>
      <w:pPr>
        <w:spacing w:line="360" w:after="210" w:lineRule="auto"/>
      </w:pPr>
      <w:r>
        <w:rPr>
          <w:rFonts w:eastAsia="georgia" w:cs="georgia" w:ascii="georgia" w:hAnsi="georgia"/>
          <w:color w:val="000000"/>
        </w:rPr>
        <w:t xml:space="preserve">Rewards can be defined in terms of avoided time spent in occult hypoxemia, avoided unnecessary ABGs, and avoidance of overtreatment, adjusted to reflect their clinical importance.[</w:t>
      </w:r>
      <w:r>
        <w:rPr>
          <w:rFonts w:eastAsia="georgia" w:cs="georgia" w:ascii="georgia" w:hAnsi="georgia"/>
          <w:color w:val="000000"/>
          <w:vertAlign w:val="superscript"/>
        </w:rPr>
        <w:t xml:space="preserve">8][</w:t>
      </w:r>
      <w:r>
        <w:rPr>
          <w:rFonts w:eastAsia="georgia" w:cs="georgia" w:ascii="georgia" w:hAnsi="georgia"/>
          <w:color w:val="000000"/>
        </w:rPr>
        <w:t xml:space="preserve">12]</w:t>
      </w:r>
    </w:p>
    <w:p>
      <w:pPr>
        <w:spacing w:line="360" w:before="315" w:after="105" w:lineRule="auto"/>
        <w:ind w:left="-30"/>
        <w:jc w:val="left"/>
      </w:pPr>
      <w:bookmarkStart w:id="24" w:name="bm_3_6_2_fairness_constraints_and_c103d1"/>
      <w:r>
        <w:rPr>
          <w:rFonts w:eastAsia="georgia" w:cs="georgia" w:ascii="georgia" w:hAnsi="georgia"/>
          <w:b/>
          <w:color w:val="000000"/>
          <w:sz w:val="24"/>
        </w:rPr>
        <w:t xml:space="preserve">3.6.2 Fairness constraints and threshold adjustment</w:t>
      </w:r>
      <w:bookmarkEnd w:id="24"/>
    </w:p>
    <w:p>
      <w:pPr>
        <w:spacing w:line="360" w:after="210" w:lineRule="auto"/>
      </w:pPr>
      <w:r>
        <w:rPr>
          <w:rFonts w:eastAsia="georgia" w:cs="georgia" w:ascii="georgia" w:hAnsi="georgia"/>
          <w:color w:val="000000"/>
        </w:rPr>
        <w:t xml:space="preserve">Based on the meta-analytic SpO₂ − SaO₂ bias estimates, an EQUITAS-style fairness mediator can enforce constraints such as:</w:t>
      </w:r>
    </w:p>
    <w:p>
      <w:pPr>
        <w:numPr>
          <w:ilvl w:val="0"/>
          <w:numId w:val="17"/>
        </w:numPr>
        <w:spacing w:line="360" w:before="105" w:after="105" w:lineRule="auto"/>
      </w:pPr>
      <w:r>
        <w:rPr>
          <w:rFonts w:eastAsia="georgia" w:cs="georgia" w:ascii="georgia" w:hAnsi="georgia"/>
          <w:color w:val="000000"/>
          <w:sz w:val="21"/>
        </w:rPr>
        <w:t xml:space="preserve">Bounding the difference in </w:t>
      </w:r>
      <w:r>
        <w:rPr>
          <w:rFonts w:eastAsia="georgia" w:cs="georgia" w:ascii="georgia" w:hAnsi="georgia"/>
          <w:b/>
          <w:color w:val="000000"/>
          <w:sz w:val="21"/>
        </w:rPr>
        <w:t xml:space="preserve">probability of occult hypoxemia among patients classified as “safe”</w:t>
      </w:r>
      <w:r>
        <w:rPr>
          <w:rFonts w:eastAsia="georgia" w:cs="georgia" w:ascii="georgia" w:hAnsi="georgia"/>
          <w:color w:val="000000"/>
          <w:sz w:val="21"/>
        </w:rPr>
        <w:t xml:space="preserve"> (SpO₂ above the operational threshold) between racial groups:[^11]</w:t>
      </w:r>
    </w:p>
    <w:p>
      <w:pPr>
        <w:spacing w:line="360" w:after="210" w:lineRule="auto"/>
      </w:pPr>
      <m:oMathPara>
        <m:oMathParaPr>
          <m:jc m:val="left"/>
        </m:oMathParaPr>
        <m:oMath>
          <m:r>
            <m:rPr>
              <m:sty m:val="p"/>
            </m:rPr>
            <w:rPr>
              <w:color w:val="000000"/>
            </w:rPr>
            <m:t>|</m:t>
          </m:r>
          <m:r>
            <m:rPr>
              <m:sty m:val="i"/>
            </m:rPr>
            <w:rPr>
              <w:color w:val="000000"/>
            </w:rPr>
            <m:t>P</m:t>
          </m:r>
          <m:r>
            <m:rPr>
              <m:sty m:val="p"/>
            </m:rPr>
            <w:rPr>
              <w:color w:val="000000"/>
            </w:rPr>
            <m:t>(</m:t>
          </m:r>
          <m:r>
            <m:rPr>
              <m:nor/>
            </m:rPr>
            <w:rPr>
              <w:color w:val="000000"/>
            </w:rPr>
            <m:t>SaO₂</m:t>
          </m:r>
          <m:r>
            <m:rPr>
              <m:sty m:val="p"/>
            </m:rPr>
            <w:rPr>
              <w:color w:val="000000"/>
            </w:rPr>
            <m:t>&lt;</m:t>
          </m:r>
          <m:r>
            <m:rPr>
              <m:sty m:val="p"/>
            </m:rPr>
            <w:rPr>
              <w:color w:val="000000"/>
            </w:rPr>
            <m:t>88</m:t>
          </m:r>
          <m:r>
            <m:rPr>
              <m:sty m:val="p"/>
            </m:rPr>
            <w:rPr>
              <w:color w:val="000000"/>
            </w:rPr>
            <m:t>%</m:t>
          </m:r>
          <m:r>
            <m:rPr>
              <m:sty m:val="p"/>
            </m:rPr>
            <w:rPr>
              <w:color w:val="000000"/>
            </w:rPr>
            <m:t>∣</m:t>
          </m:r>
          <m:r>
            <m:rPr>
              <m:nor/>
            </m:rPr>
            <w:rPr>
              <w:color w:val="000000"/>
            </w:rPr>
            <m:t>SpO₂</m:t>
          </m:r>
          <m:r>
            <m:rPr>
              <m:sty m:val="p"/>
            </m:rPr>
            <w:rPr>
              <w:color w:val="000000"/>
            </w:rPr>
            <m:t>≥</m:t>
          </m:r>
          <m:r>
            <m:rPr>
              <m:sty m:val="i"/>
            </m:rPr>
            <w:rPr>
              <w:color w:val="000000"/>
            </w:rPr>
            <m:t>T</m:t>
          </m:r>
          <m:r>
            <m:rPr>
              <m:sty m:val="p"/>
            </m:rPr>
            <w:rPr>
              <w:color w:val="000000"/>
            </w:rPr>
            <m:t>,</m:t>
          </m:r>
          <m:r>
            <m:rPr>
              <m:nor/>
            </m:rPr>
            <w:rPr>
              <w:color w:val="000000"/>
            </w:rPr>
          </m:r>
        </m:oMath>
      </m:oMathPara>
    </w:p>
    <w:p>
      <w:pPr>
        <w:numPr>
          <w:ilvl w:val="0"/>
          <w:numId w:val="18"/>
        </w:numPr>
        <w:spacing w:line="360" w:before="105" w:after="105" w:lineRule="auto"/>
      </w:pPr>
      <w:r>
        <w:rPr>
          <w:rFonts w:eastAsia="georgia" w:cs="georgia" w:ascii="georgia" w:hAnsi="georgia"/>
          <w:color w:val="000000"/>
          <w:sz w:val="21"/>
        </w:rPr>
        <w:t xml:space="preserve">Bounding the difference in </w:t>
      </w:r>
      <w:r>
        <w:rPr>
          <w:rFonts w:eastAsia="georgia" w:cs="georgia" w:ascii="georgia" w:hAnsi="georgia"/>
          <w:b/>
          <w:color w:val="000000"/>
          <w:sz w:val="21"/>
        </w:rPr>
        <w:t xml:space="preserve">missed-treatment rates</w:t>
      </w:r>
      <w:r>
        <w:rPr>
          <w:rFonts w:eastAsia="georgia" w:cs="georgia" w:ascii="georgia" w:hAnsi="georgia"/>
          <w:color w:val="000000"/>
          <w:sz w:val="21"/>
        </w:rPr>
        <w:t xml:space="preserve"> (FN rates) between groups at the same decision rule.</w:t>
      </w:r>
    </w:p>
    <w:p>
      <w:pPr>
        <w:spacing w:line="360" w:after="210" w:lineRule="auto"/>
      </w:pPr>
      <w:r>
        <w:rPr>
          <w:rFonts w:eastAsia="georgia" w:cs="georgia" w:ascii="georgia" w:hAnsi="georgia"/>
          <w:color w:val="000000"/>
        </w:rPr>
        <w:t xml:space="preserve">To satisfy these constraints, the bandit can learn group-conditional or context-conditional thresholds (explicitly or implicitly) that reflect the differing measurement error:</w:t>
      </w:r>
    </w:p>
    <w:p>
      <w:pPr>
        <w:numPr>
          <w:ilvl w:val="0"/>
          <w:numId w:val="19"/>
        </w:numPr>
        <w:spacing w:line="360" w:before="105" w:after="105" w:lineRule="auto"/>
      </w:pPr>
      <w:r>
        <w:rPr>
          <w:rFonts w:eastAsia="georgia" w:cs="georgia" w:ascii="georgia" w:hAnsi="georgia"/>
          <w:color w:val="000000"/>
          <w:sz w:val="21"/>
        </w:rPr>
        <w:t xml:space="preserve">For groups with higher overestimation (e.g., Black patients with mean bias ~+1.7 points), the effective SpO₂ threshold for action can be shifted upward (for example, treating when measured SpO₂ &lt; 93–94%).[^11]</w:t>
      </w:r>
    </w:p>
    <w:p>
      <w:pPr>
        <w:numPr>
          <w:ilvl w:val="0"/>
          <w:numId w:val="19"/>
        </w:numPr>
        <w:spacing w:line="360" w:before="105" w:after="105" w:lineRule="auto"/>
      </w:pPr>
      <w:r>
        <w:rPr>
          <w:rFonts w:eastAsia="georgia" w:cs="georgia" w:ascii="georgia" w:hAnsi="georgia"/>
          <w:color w:val="000000"/>
          <w:sz w:val="21"/>
        </w:rPr>
        <w:t xml:space="preserve">The policy can allocate more ABG tests to patients in groups with higher occult hypoxemia risk when SpO₂ falls in an ambiguous range (e.g., 92–95%).</w:t>
      </w:r>
    </w:p>
    <w:p>
      <w:pPr>
        <w:spacing w:line="360" w:after="210" w:lineRule="auto"/>
      </w:pPr>
      <w:r>
        <w:rPr>
          <w:rFonts w:eastAsia="georgia" w:cs="georgia" w:ascii="georgia" w:hAnsi="georgia"/>
          <w:color w:val="000000"/>
        </w:rPr>
        <w:t xml:space="preserve">Simulation targets derived from the published event rates include:</w:t>
      </w:r>
    </w:p>
    <w:p>
      <w:pPr>
        <w:numPr>
          <w:ilvl w:val="0"/>
          <w:numId w:val="20"/>
        </w:numPr>
        <w:spacing w:line="360" w:before="105" w:after="105" w:lineRule="auto"/>
      </w:pPr>
      <w:r>
        <w:rPr>
          <w:rFonts w:eastAsia="georgia" w:cs="georgia" w:ascii="georgia" w:hAnsi="georgia"/>
          <w:color w:val="000000"/>
          <w:sz w:val="21"/>
        </w:rPr>
        <w:t xml:space="preserve">Increasing the proportion of occult hypoxemia cases detected and treated among Black patients from ~70–75% to above 90%, while keeping White detection rates stable.[</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4][^8]</w:t>
      </w:r>
    </w:p>
    <w:p>
      <w:pPr>
        <w:numPr>
          <w:ilvl w:val="0"/>
          <w:numId w:val="20"/>
        </w:numPr>
        <w:spacing w:line="360" w:before="105" w:after="105" w:lineRule="auto"/>
      </w:pPr>
      <w:r>
        <w:rPr>
          <w:rFonts w:eastAsia="georgia" w:cs="georgia" w:ascii="georgia" w:hAnsi="georgia"/>
          <w:color w:val="000000"/>
          <w:sz w:val="21"/>
        </w:rPr>
        <w:t xml:space="preserve">Reducing the disparity in FN rates (missed hypoxemia) between Black and White patients to within a small margin (e.g., &lt; 2 percentage points), with a modest increase in ABG utilization concentrated in high-uncertainty contexts.[^11]</w:t>
      </w:r>
    </w:p>
    <w:p>
      <w:pPr>
        <w:spacing w:line="360" w:before="315" w:after="105" w:lineRule="auto"/>
        <w:ind w:left="-30"/>
        <w:jc w:val="left"/>
      </w:pPr>
      <w:bookmarkStart w:id="25" w:name="bm_3_7_summary_of_case_2"/>
      <w:r>
        <w:rPr>
          <w:rFonts w:eastAsia="georgia" w:cs="georgia" w:ascii="georgia" w:hAnsi="georgia"/>
          <w:b/>
          <w:color w:val="000000"/>
          <w:sz w:val="24"/>
        </w:rPr>
        <w:t xml:space="preserve">3.7 Summary of case 2</w:t>
      </w:r>
      <w:bookmarkEnd w:id="25"/>
    </w:p>
    <w:p>
      <w:pPr>
        <w:spacing w:line="360" w:after="210" w:lineRule="auto"/>
      </w:pPr>
      <w:r>
        <w:rPr>
          <w:rFonts w:eastAsia="georgia" w:cs="georgia" w:ascii="georgia" w:hAnsi="georgia"/>
          <w:color w:val="000000"/>
        </w:rPr>
        <w:t xml:space="preserve">Case 2 demonstrates that when calibration and evaluation of diagnostic devices fail to incorporate key contextual variables—specifically skin pigmentation and race—measurement error becomes strongly group-dependent, leading to higher rates of occult hypoxemia and delayed treatment in minority patients. Uniform decision thresholds that ignore this context produce confusion matrices with higher false negative rates for Black, Asian, and Hispanic patients than for White patients, mirroring the structure of unfair test routing in case 1. Fairness-aware bandit policies that incorporate group-dependent bias and enforce constraints on missed-treatment disparity provide a principled route toward more equitable diagnostics.[</w:t>
      </w:r>
      <w:r>
        <w:rPr>
          <w:rFonts w:eastAsia="georgia" w:cs="georgia" w:ascii="georgia" w:hAnsi="georgia"/>
          <w:color w:val="000000"/>
          <w:vertAlign w:val="superscript"/>
        </w:rPr>
        <w:t xml:space="preserve">8][</w:t>
      </w:r>
      <w:r>
        <w:rPr>
          <w:rFonts w:eastAsia="georgia" w:cs="georgia" w:ascii="georgia" w:hAnsi="georgia"/>
          <w:color w:val="000000"/>
        </w:rPr>
        <w:t xml:space="preserve">3][</w:t>
      </w:r>
      <w:r>
        <w:rPr>
          <w:rFonts w:eastAsia="georgia" w:cs="georgia" w:ascii="georgia" w:hAnsi="georgia"/>
          <w:color w:val="000000"/>
          <w:vertAlign w:val="superscript"/>
        </w:rPr>
        <w:t xml:space="preserve">4][</w:t>
      </w:r>
      <w:r>
        <w:rPr>
          <w:rFonts w:eastAsia="georgia" w:cs="georgia" w:ascii="georgia" w:hAnsi="georgia"/>
          <w:color w:val="000000"/>
        </w:rPr>
        <w:t xml:space="preserve">11]</w:t>
      </w:r>
    </w:p>
    <w:p>
      <w:pPr>
        <w:spacing w:line="360" w:before="315" w:after="105" w:lineRule="auto"/>
        <w:ind w:left="-30"/>
        <w:jc w:val="left"/>
      </w:pPr>
      <w:bookmarkStart w:id="26" w:name="bm_4_cross_case_synthesis_and_imp_723cec"/>
      <w:r>
        <w:rPr>
          <w:rFonts w:eastAsia="georgia" w:cs="georgia" w:ascii="georgia" w:hAnsi="georgia"/>
          <w:b/>
          <w:color w:val="000000"/>
          <w:sz w:val="24"/>
        </w:rPr>
        <w:t xml:space="preserve">4. Cross-Case Synthesis and Implications for Contextual Bandit Research</w:t>
      </w:r>
      <w:bookmarkEnd w:id="26"/>
    </w:p>
    <w:p>
      <w:pPr>
        <w:spacing w:line="360" w:before="315" w:after="105" w:lineRule="auto"/>
        <w:ind w:left="-30"/>
        <w:jc w:val="left"/>
      </w:pPr>
      <w:bookmarkStart w:id="27" w:name="bm_4_1_shared_structure_across_ro_5d82ab"/>
      <w:r>
        <w:rPr>
          <w:rFonts w:eastAsia="georgia" w:cs="georgia" w:ascii="georgia" w:hAnsi="georgia"/>
          <w:b/>
          <w:color w:val="000000"/>
          <w:sz w:val="24"/>
        </w:rPr>
        <w:t xml:space="preserve">4.1 Shared structure across routing and diagnostics</w:t>
      </w:r>
      <w:bookmarkEnd w:id="27"/>
    </w:p>
    <w:p>
      <w:pPr>
        <w:spacing w:line="360" w:after="210" w:lineRule="auto"/>
      </w:pPr>
      <w:r>
        <w:rPr>
          <w:rFonts w:eastAsia="georgia" w:cs="georgia" w:ascii="georgia" w:hAnsi="georgia"/>
          <w:color w:val="000000"/>
        </w:rPr>
        <w:t xml:space="preserve">Despite differing in domain (population-level resource allocation vs. individual diagnostics), the two cases share a common structural pattern:</w:t>
      </w:r>
    </w:p>
    <w:p>
      <w:pPr>
        <w:numPr>
          <w:ilvl w:val="0"/>
          <w:numId w:val="21"/>
        </w:numPr>
        <w:spacing w:line="360" w:after="210" w:lineRule="auto"/>
      </w:pPr>
      <w:r>
        <w:rPr>
          <w:rFonts w:eastAsia="georgia" w:cs="georgia" w:ascii="georgia" w:hAnsi="georgia"/>
          <w:b/>
          <w:color w:val="000000"/>
          <w:sz w:val="21"/>
        </w:rPr>
        <w:t xml:space="preserve">Missing or incomplete context</w:t>
      </w:r>
      <w:r>
        <w:rPr>
          <w:rFonts w:eastAsia="georgia" w:cs="georgia" w:ascii="georgia" w:hAnsi="georgia"/>
          <w:color w:val="000000"/>
          <w:sz w:val="21"/>
        </w:rPr>
        <w:t xml:space="preserve">:</w:t>
      </w:r>
    </w:p>
    <w:p>
      <w:pPr>
        <w:numPr>
          <w:ilvl w:val="1"/>
          <w:numId w:val="21"/>
        </w:numPr>
        <w:spacing w:line="360" w:before="105" w:after="105" w:lineRule="auto"/>
      </w:pPr>
      <w:r>
        <w:rPr>
          <w:rFonts w:eastAsia="georgia" w:cs="georgia" w:ascii="georgia" w:hAnsi="georgia"/>
          <w:color w:val="000000"/>
          <w:sz w:val="21"/>
        </w:rPr>
        <w:t xml:space="preserve">Test routing lacked explicit use of race/ethnicity, SVI, and case burden in deciding where to site testing facilities.[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1"/>
          <w:numId w:val="21"/>
        </w:numPr>
        <w:spacing w:line="360" w:before="105" w:after="105" w:lineRule="auto"/>
      </w:pPr>
      <w:r>
        <w:rPr>
          <w:rFonts w:eastAsia="georgia" w:cs="georgia" w:ascii="georgia" w:hAnsi="georgia"/>
          <w:color w:val="000000"/>
          <w:sz w:val="21"/>
        </w:rPr>
        <w:t xml:space="preserve">Pulse oximetry calibration and regulatory evaluation lacked representation of darker-skinned patients and did not model melanin’s effect on light absorption.[</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10]</w:t>
      </w:r>
    </w:p>
    <w:p>
      <w:pPr>
        <w:numPr>
          <w:ilvl w:val="0"/>
          <w:numId w:val="21"/>
        </w:numPr>
        <w:spacing w:line="360" w:after="210" w:lineRule="auto"/>
      </w:pPr>
      <w:r>
        <w:rPr>
          <w:rFonts w:eastAsia="georgia" w:cs="georgia" w:ascii="georgia" w:hAnsi="georgia"/>
          <w:b/>
          <w:color w:val="000000"/>
          <w:sz w:val="21"/>
        </w:rPr>
        <w:t xml:space="preserve">Group-dependent harm</w:t>
      </w:r>
      <w:r>
        <w:rPr>
          <w:rFonts w:eastAsia="georgia" w:cs="georgia" w:ascii="georgia" w:hAnsi="georgia"/>
          <w:color w:val="000000"/>
          <w:sz w:val="21"/>
        </w:rPr>
        <w:t xml:space="preserve">:</w:t>
      </w:r>
    </w:p>
    <w:p>
      <w:pPr>
        <w:numPr>
          <w:ilvl w:val="1"/>
          <w:numId w:val="21"/>
        </w:numPr>
        <w:spacing w:line="360" w:before="105" w:after="105" w:lineRule="auto"/>
      </w:pPr>
      <w:r>
        <w:rPr>
          <w:rFonts w:eastAsia="georgia" w:cs="georgia" w:ascii="georgia" w:hAnsi="georgia"/>
          <w:color w:val="000000"/>
          <w:sz w:val="21"/>
        </w:rPr>
        <w:t xml:space="preserve">Hispanic and Black communities experienced undersupply of testing relative to burden, leading to under-detection and higher subsequent mortality.[</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6][^1]</w:t>
      </w:r>
    </w:p>
    <w:p>
      <w:pPr>
        <w:numPr>
          <w:ilvl w:val="1"/>
          <w:numId w:val="21"/>
        </w:numPr>
        <w:spacing w:line="360" w:before="105" w:after="105" w:lineRule="auto"/>
      </w:pPr>
      <w:r>
        <w:rPr>
          <w:rFonts w:eastAsia="georgia" w:cs="georgia" w:ascii="georgia" w:hAnsi="georgia"/>
          <w:color w:val="000000"/>
          <w:sz w:val="21"/>
        </w:rPr>
        <w:t xml:space="preserve">Black, Asian, and Hispanic patients experienced higher rates of occult hypoxemia, delayed treatment, and higher readmission risk compared with White patients at identical nominal SpO₂ values.[</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3][^4]</w:t>
      </w:r>
    </w:p>
    <w:p>
      <w:pPr>
        <w:numPr>
          <w:ilvl w:val="0"/>
          <w:numId w:val="21"/>
        </w:numPr>
        <w:spacing w:line="360" w:after="210" w:lineRule="auto"/>
      </w:pPr>
      <w:r>
        <w:rPr>
          <w:rFonts w:eastAsia="georgia" w:cs="georgia" w:ascii="georgia" w:hAnsi="georgia"/>
          <w:b/>
          <w:color w:val="000000"/>
          <w:sz w:val="21"/>
        </w:rPr>
        <w:t xml:space="preserve">Skewed confusion matrices</w:t>
      </w:r>
      <w:r>
        <w:rPr>
          <w:rFonts w:eastAsia="georgia" w:cs="georgia" w:ascii="georgia" w:hAnsi="georgia"/>
          <w:color w:val="000000"/>
          <w:sz w:val="21"/>
        </w:rPr>
        <w:t xml:space="preserve">:</w:t>
      </w:r>
    </w:p>
    <w:p>
      <w:pPr>
        <w:numPr>
          <w:ilvl w:val="1"/>
          <w:numId w:val="21"/>
        </w:numPr>
        <w:spacing w:line="360" w:before="105" w:after="105" w:lineRule="auto"/>
      </w:pPr>
      <w:r>
        <w:rPr>
          <w:rFonts w:eastAsia="georgia" w:cs="georgia" w:ascii="georgia" w:hAnsi="georgia"/>
          <w:color w:val="000000"/>
          <w:sz w:val="21"/>
        </w:rPr>
        <w:t xml:space="preserve">In test routing, high-need minority communities are disproportionately false negatives (low allocation despite high need), while low-need majority-White communities are disproportionately false positives (high allocation despite low need).[</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1"/>
          <w:numId w:val="21"/>
        </w:numPr>
        <w:spacing w:line="360" w:before="105" w:after="105" w:lineRule="auto"/>
      </w:pPr>
      <w:r>
        <w:rPr>
          <w:rFonts w:eastAsia="georgia" w:cs="georgia" w:ascii="georgia" w:hAnsi="georgia"/>
          <w:color w:val="000000"/>
          <w:sz w:val="21"/>
        </w:rPr>
        <w:t xml:space="preserve">In diagnostics, minority patients are disproportionately false negatives (missed hypoxemia), while White patients may experience more false positives at the same thresholds.[</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4][^8]</w:t>
      </w:r>
    </w:p>
    <w:p>
      <w:pPr>
        <w:numPr>
          <w:ilvl w:val="0"/>
          <w:numId w:val="21"/>
        </w:numPr>
        <w:spacing w:line="360" w:after="210" w:lineRule="auto"/>
      </w:pPr>
      <w:r>
        <w:rPr>
          <w:rFonts w:eastAsia="georgia" w:cs="georgia" w:ascii="georgia" w:hAnsi="georgia"/>
          <w:b/>
          <w:color w:val="000000"/>
          <w:sz w:val="21"/>
        </w:rPr>
        <w:t xml:space="preserve">Correctability via context-aware policies</w:t>
      </w:r>
      <w:r>
        <w:rPr>
          <w:rFonts w:eastAsia="georgia" w:cs="georgia" w:ascii="georgia" w:hAnsi="georgia"/>
          <w:color w:val="000000"/>
          <w:sz w:val="21"/>
        </w:rPr>
        <w:t xml:space="preserve">:</w:t>
      </w:r>
    </w:p>
    <w:p>
      <w:pPr>
        <w:numPr>
          <w:ilvl w:val="1"/>
          <w:numId w:val="21"/>
        </w:numPr>
        <w:spacing w:line="360" w:before="105" w:after="105" w:lineRule="auto"/>
      </w:pPr>
      <w:r>
        <w:rPr>
          <w:rFonts w:eastAsia="georgia" w:cs="georgia" w:ascii="georgia" w:hAnsi="georgia"/>
          <w:color w:val="000000"/>
          <w:sz w:val="21"/>
        </w:rPr>
        <w:t xml:space="preserve">Routing can be improved by using CMAB policies that take vulnerability and burden as context and impose parity constraints on tests per burden unit across groups.[^5]</w:t>
      </w:r>
    </w:p>
    <w:p>
      <w:pPr>
        <w:numPr>
          <w:ilvl w:val="1"/>
          <w:numId w:val="21"/>
        </w:numPr>
        <w:spacing w:line="360" w:before="105" w:after="105" w:lineRule="auto"/>
      </w:pPr>
      <w:r>
        <w:rPr>
          <w:rFonts w:eastAsia="georgia" w:cs="georgia" w:ascii="georgia" w:hAnsi="georgia"/>
          <w:color w:val="000000"/>
          <w:sz w:val="21"/>
        </w:rPr>
        <w:t xml:space="preserve">Diagnostic decisions can incorporate group-dependent measurement bias into context vectors and enforce constraints on group-wise FN rates, using EQUITAS-style mediators to balance utility and fairness.[^11]</w:t>
      </w:r>
    </w:p>
    <w:p>
      <w:pPr>
        <w:spacing w:line="360" w:before="315" w:after="105" w:lineRule="auto"/>
        <w:ind w:left="-30"/>
        <w:jc w:val="left"/>
      </w:pPr>
      <w:bookmarkStart w:id="28" w:name="bm_4_2_role_of_confusion_matrices_d4dfde"/>
      <w:r>
        <w:rPr>
          <w:rFonts w:eastAsia="georgia" w:cs="georgia" w:ascii="georgia" w:hAnsi="georgia"/>
          <w:b/>
          <w:color w:val="000000"/>
          <w:sz w:val="24"/>
        </w:rPr>
        <w:t xml:space="preserve">4.2 Role of confusion matrices in evaluation</w:t>
      </w:r>
      <w:bookmarkEnd w:id="28"/>
    </w:p>
    <w:p>
      <w:pPr>
        <w:spacing w:line="360" w:after="210" w:lineRule="auto"/>
      </w:pPr>
      <w:r>
        <w:rPr>
          <w:rFonts w:eastAsia="georgia" w:cs="georgia" w:ascii="georgia" w:hAnsi="georgia"/>
          <w:color w:val="000000"/>
        </w:rPr>
        <w:t xml:space="preserve">Confusion matrices offer a powerful and intuitive summary of how missing context manifests as systematic error. For both cases, researchers can instantiate </w:t>
      </w:r>
      <w:r>
        <w:rPr>
          <w:rFonts w:eastAsia="georgia" w:cs="georgia" w:ascii="georgia" w:hAnsi="georgia"/>
          <w:b/>
          <w:color w:val="000000"/>
        </w:rPr>
        <w:t xml:space="preserve">synthetic but data-grounded confusion matrices</w:t>
      </w:r>
      <w:r>
        <w:rPr>
          <w:rFonts w:eastAsia="georgia" w:cs="georgia" w:ascii="georgia" w:hAnsi="georgia"/>
          <w:color w:val="000000"/>
        </w:rPr>
        <w:t xml:space="preserve"> based on published rates:</w:t>
      </w:r>
    </w:p>
    <w:p>
      <w:pPr>
        <w:numPr>
          <w:ilvl w:val="0"/>
          <w:numId w:val="22"/>
        </w:numPr>
        <w:spacing w:line="360" w:before="105" w:after="105" w:lineRule="auto"/>
      </w:pPr>
      <w:r>
        <w:rPr>
          <w:rFonts w:eastAsia="georgia" w:cs="georgia" w:ascii="georgia" w:hAnsi="georgia"/>
          <w:color w:val="000000"/>
          <w:sz w:val="21"/>
        </w:rPr>
        <w:t xml:space="preserve">For test routing, labeling communities as high/low need (ground truth) and high/low allocation (prediction) allows direct visualization of which groups disproportionately occupy false negative and false positive cells.[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0"/>
          <w:numId w:val="22"/>
        </w:numPr>
        <w:spacing w:line="360" w:before="105" w:after="105" w:lineRule="auto"/>
      </w:pPr>
      <w:r>
        <w:rPr>
          <w:rFonts w:eastAsia="georgia" w:cs="georgia" w:ascii="georgia" w:hAnsi="georgia"/>
          <w:color w:val="000000"/>
          <w:sz w:val="21"/>
        </w:rPr>
        <w:t xml:space="preserve">For diagnostics, labeling patients by true hypoxemia status and treatment decisions shows the racial distribution of false negatives (occult hypoxemia), which is the primary driver of harm.[</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3][^4]</w:t>
      </w:r>
    </w:p>
    <w:p>
      <w:pPr>
        <w:spacing w:line="360" w:after="210" w:lineRule="auto"/>
      </w:pPr>
      <w:r>
        <w:rPr>
          <w:rFonts w:eastAsia="georgia" w:cs="georgia" w:ascii="georgia" w:hAnsi="georgia"/>
          <w:color w:val="000000"/>
        </w:rPr>
        <w:t xml:space="preserve">These confusion matrices can be computed over rounds in a contextual bandit testbed, enabling quantitative comparison between baseline (context-blind) and fairness-aware policies.</w:t>
      </w:r>
    </w:p>
    <w:p>
      <w:pPr>
        <w:spacing w:line="360" w:before="315" w:after="105" w:lineRule="auto"/>
        <w:ind w:left="-30"/>
        <w:jc w:val="left"/>
      </w:pPr>
      <w:bookmarkStart w:id="29" w:name="bm_4_3_implications_for_bandit_en_2c13f7"/>
      <w:r>
        <w:rPr>
          <w:rFonts w:eastAsia="georgia" w:cs="georgia" w:ascii="georgia" w:hAnsi="georgia"/>
          <w:b/>
          <w:color w:val="000000"/>
          <w:sz w:val="24"/>
        </w:rPr>
        <w:t xml:space="preserve">4.3 Implications for bandit environments and fairness metrics</w:t>
      </w:r>
      <w:bookmarkEnd w:id="29"/>
    </w:p>
    <w:p>
      <w:pPr>
        <w:spacing w:line="360" w:after="210" w:lineRule="auto"/>
      </w:pPr>
      <w:r>
        <w:rPr>
          <w:rFonts w:eastAsia="georgia" w:cs="georgia" w:ascii="georgia" w:hAnsi="georgia"/>
          <w:color w:val="000000"/>
        </w:rPr>
        <w:t xml:space="preserve">The two cases suggest several concrete design choices for bandit environments:</w:t>
      </w:r>
    </w:p>
    <w:p>
      <w:pPr>
        <w:numPr>
          <w:ilvl w:val="0"/>
          <w:numId w:val="23"/>
        </w:numPr>
        <w:spacing w:line="360" w:before="105" w:after="105" w:lineRule="auto"/>
      </w:pPr>
      <w:r>
        <w:rPr>
          <w:rFonts w:eastAsia="georgia" w:cs="georgia" w:ascii="georgia" w:hAnsi="georgia"/>
          <w:b/>
          <w:color w:val="000000"/>
          <w:sz w:val="21"/>
        </w:rPr>
        <w:t xml:space="preserve">Context richness</w:t>
      </w:r>
      <w:r>
        <w:rPr>
          <w:rFonts w:eastAsia="georgia" w:cs="georgia" w:ascii="georgia" w:hAnsi="georgia"/>
          <w:color w:val="000000"/>
          <w:sz w:val="21"/>
        </w:rPr>
        <w:t xml:space="preserve">: Environment simulators should encode the key demographic, clinical, and structural variables identified as critical context in the empirical literature (SVI, race/ethnicity, case burden, exposure proxies for routing; group-dependent measurement bias for diagnostics).[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11]</w:t>
      </w:r>
    </w:p>
    <w:p>
      <w:pPr>
        <w:numPr>
          <w:ilvl w:val="0"/>
          <w:numId w:val="23"/>
        </w:numPr>
        <w:spacing w:line="360" w:before="105" w:after="105" w:lineRule="auto"/>
      </w:pPr>
      <w:r>
        <w:rPr>
          <w:rFonts w:eastAsia="georgia" w:cs="georgia" w:ascii="georgia" w:hAnsi="georgia"/>
          <w:b/>
          <w:color w:val="000000"/>
          <w:sz w:val="21"/>
        </w:rPr>
        <w:t xml:space="preserve">Reward shaping</w:t>
      </w:r>
      <w:r>
        <w:rPr>
          <w:rFonts w:eastAsia="georgia" w:cs="georgia" w:ascii="georgia" w:hAnsi="georgia"/>
          <w:color w:val="000000"/>
          <w:sz w:val="21"/>
        </w:rPr>
        <w:t xml:space="preserve">: Reward functions should align with real-world outcomes—detected infections and averted deaths for routing; avoided occult hypoxemia time and timely therapy for diagnostics—rather than arbitrary proxies.[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8]</w:t>
      </w:r>
    </w:p>
    <w:p>
      <w:pPr>
        <w:numPr>
          <w:ilvl w:val="0"/>
          <w:numId w:val="23"/>
        </w:numPr>
        <w:spacing w:line="360" w:before="105" w:after="105" w:lineRule="auto"/>
      </w:pPr>
      <w:r>
        <w:rPr>
          <w:rFonts w:eastAsia="georgia" w:cs="georgia" w:ascii="georgia" w:hAnsi="georgia"/>
          <w:b/>
          <w:color w:val="000000"/>
          <w:sz w:val="21"/>
        </w:rPr>
        <w:t xml:space="preserve">Group-level fairness metrics</w:t>
      </w:r>
      <w:r>
        <w:rPr>
          <w:rFonts w:eastAsia="georgia" w:cs="georgia" w:ascii="georgia" w:hAnsi="georgia"/>
          <w:color w:val="000000"/>
          <w:sz w:val="21"/>
        </w:rPr>
        <w:t xml:space="preserve">: Metrics such as tests per burden unit, treatment FN rates, and per-group confusion matrices should be logged over time to track how bandit policies affect different populations.[</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5]</w:t>
      </w:r>
    </w:p>
    <w:p>
      <w:pPr>
        <w:numPr>
          <w:ilvl w:val="0"/>
          <w:numId w:val="23"/>
        </w:numPr>
        <w:spacing w:line="360" w:before="105" w:after="105" w:lineRule="auto"/>
      </w:pPr>
      <w:r>
        <w:rPr>
          <w:rFonts w:eastAsia="georgia" w:cs="georgia" w:ascii="georgia" w:hAnsi="georgia"/>
          <w:b/>
          <w:color w:val="000000"/>
          <w:sz w:val="21"/>
        </w:rPr>
        <w:t xml:space="preserve">EQUITAS-style mediation</w:t>
      </w:r>
      <w:r>
        <w:rPr>
          <w:rFonts w:eastAsia="georgia" w:cs="georgia" w:ascii="georgia" w:hAnsi="georgia"/>
          <w:color w:val="000000"/>
          <w:sz w:val="21"/>
        </w:rPr>
        <w:t xml:space="preserve">: Fairness constraints can be enforced through mediators that adjust policy scores or thresholds to bound disparities in key metrics (e.g., tests per burden unit or FN rates).[^11]</w:t>
      </w:r>
    </w:p>
    <w:p>
      <w:pPr>
        <w:spacing w:line="360" w:before="315" w:after="105" w:lineRule="auto"/>
        <w:ind w:left="-30"/>
        <w:jc w:val="left"/>
      </w:pPr>
      <w:bookmarkStart w:id="30" w:name="bm_4_4_limitations_and_future_directions"/>
      <w:r>
        <w:rPr>
          <w:rFonts w:eastAsia="georgia" w:cs="georgia" w:ascii="georgia" w:hAnsi="georgia"/>
          <w:b/>
          <w:color w:val="000000"/>
          <w:sz w:val="24"/>
        </w:rPr>
        <w:t xml:space="preserve">4.4 Limitations and future directions</w:t>
      </w:r>
      <w:bookmarkEnd w:id="30"/>
    </w:p>
    <w:p>
      <w:pPr>
        <w:spacing w:line="360" w:after="210" w:lineRule="auto"/>
      </w:pPr>
      <w:r>
        <w:rPr>
          <w:rFonts w:eastAsia="georgia" w:cs="georgia" w:ascii="georgia" w:hAnsi="georgia"/>
          <w:color w:val="000000"/>
        </w:rPr>
        <w:t xml:space="preserve">This report focuses on high-level, aggregate data from published studies, which limits the ability to perform individual-level causal inference or to fully capture the dynamic feedback between allocation decisions and disease spread. In addition, the CMAB-based counterfactuals described here are conceptual rather than fully quantified; implementing and evaluating them requires careful design of simulators that respect resource constraints, lag times, and the multi-objective nature of real-world public health decisions.[</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11]</w:t>
      </w:r>
    </w:p>
    <w:p>
      <w:pPr>
        <w:spacing w:line="360" w:after="210" w:lineRule="auto"/>
      </w:pPr>
      <w:r>
        <w:rPr>
          <w:rFonts w:eastAsia="georgia" w:cs="georgia" w:ascii="georgia" w:hAnsi="georgia"/>
          <w:color w:val="000000"/>
        </w:rPr>
        <w:t xml:space="preserve">Future work can extend this foundation by:</w:t>
      </w:r>
    </w:p>
    <w:p>
      <w:pPr>
        <w:numPr>
          <w:ilvl w:val="0"/>
          <w:numId w:val="24"/>
        </w:numPr>
        <w:spacing w:line="360" w:before="105" w:after="105" w:lineRule="auto"/>
      </w:pPr>
      <w:r>
        <w:rPr>
          <w:rFonts w:eastAsia="georgia" w:cs="georgia" w:ascii="georgia" w:hAnsi="georgia"/>
          <w:color w:val="000000"/>
          <w:sz w:val="21"/>
        </w:rPr>
        <w:t xml:space="preserve">Building open-source simulators that reproduce early-pandemic test distribution patterns and pulse oximetry bias effects, using publicly available data.[</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1]</w:t>
      </w:r>
    </w:p>
    <w:p>
      <w:pPr>
        <w:numPr>
          <w:ilvl w:val="0"/>
          <w:numId w:val="24"/>
        </w:numPr>
        <w:spacing w:line="360" w:before="105" w:after="105" w:lineRule="auto"/>
      </w:pPr>
      <w:r>
        <w:rPr>
          <w:rFonts w:eastAsia="georgia" w:cs="georgia" w:ascii="georgia" w:hAnsi="georgia"/>
          <w:color w:val="000000"/>
          <w:sz w:val="21"/>
        </w:rPr>
        <w:t xml:space="preserve">Experimenting with different fairness constraints and trade-off parameters in CMAB policies, to explore the frontier between utility and equity.</w:t>
      </w:r>
    </w:p>
    <w:p>
      <w:pPr>
        <w:numPr>
          <w:ilvl w:val="0"/>
          <w:numId w:val="24"/>
        </w:numPr>
        <w:spacing w:line="360" w:before="105" w:after="105" w:lineRule="auto"/>
      </w:pPr>
      <w:r>
        <w:rPr>
          <w:rFonts w:eastAsia="georgia" w:cs="georgia" w:ascii="georgia" w:hAnsi="georgia"/>
          <w:color w:val="000000"/>
          <w:sz w:val="21"/>
        </w:rPr>
        <w:t xml:space="preserve">Incorporating additional contextual factors such as insurance status, language barriers, and neighborhood-level healthcare infrastructure, which further shape access and outcomes.[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14]</w:t>
      </w:r>
    </w:p>
    <w:p>
      <w:pPr>
        <w:spacing w:line="360" w:before="315" w:after="105" w:lineRule="auto"/>
        <w:ind w:left="-30"/>
        <w:jc w:val="left"/>
      </w:pPr>
      <w:bookmarkStart w:id="31" w:name="bm_5_conclusion"/>
      <w:r>
        <w:rPr>
          <w:rFonts w:eastAsia="georgia" w:cs="georgia" w:ascii="georgia" w:hAnsi="georgia"/>
          <w:b/>
          <w:color w:val="000000"/>
          <w:sz w:val="24"/>
        </w:rPr>
        <w:t xml:space="preserve">5. Conclusion</w:t>
      </w:r>
      <w:bookmarkEnd w:id="31"/>
    </w:p>
    <w:p>
      <w:pPr>
        <w:spacing w:line="360" w:after="210" w:lineRule="auto"/>
      </w:pPr>
      <w:r>
        <w:rPr>
          <w:rFonts w:eastAsia="georgia" w:cs="georgia" w:ascii="georgia" w:hAnsi="georgia"/>
          <w:color w:val="000000"/>
        </w:rPr>
        <w:t xml:space="preserve">The COVID-19 pandemic offers two starkly documented examples of how ignoring crucial context in routing and diagnostic pipelines produces systematic, group-dependent harm. In test allocation, high-burden Hispanic and Black communities were under-tested while lower-burden, well-resourced White communities received disproportionate capacity. In pulse oximetry, calibration without adequate representation of darker-skinned patients led to measurement bias that caused Black, Asian, and Hispanic patients to experience higher rates of occult hypoxemia and delayed treatment than White patients at the same measured SpO₂ values.[</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6][</w:t>
      </w:r>
      <w:r>
        <w:rPr>
          <w:rFonts w:eastAsia="georgia" w:cs="georgia" w:ascii="georgia" w:hAnsi="georgia"/>
          <w:color w:val="000000"/>
        </w:rPr>
        <w:t xml:space="preserve">3][</w:t>
      </w:r>
      <w:r>
        <w:rPr>
          <w:rFonts w:eastAsia="georgia" w:cs="georgia" w:ascii="georgia" w:hAnsi="georgia"/>
          <w:color w:val="000000"/>
          <w:vertAlign w:val="superscript"/>
        </w:rPr>
        <w:t xml:space="preserve">4][</w:t>
      </w:r>
      <w:r>
        <w:rPr>
          <w:rFonts w:eastAsia="georgia" w:cs="georgia" w:ascii="georgia" w:hAnsi="georgia"/>
          <w:color w:val="000000"/>
        </w:rPr>
        <w:t xml:space="preserve">11]</w:t>
      </w:r>
    </w:p>
    <w:p>
      <w:pPr>
        <w:spacing w:line="360" w:after="210" w:lineRule="auto"/>
      </w:pPr>
      <w:r>
        <w:rPr>
          <w:rFonts w:eastAsia="georgia" w:cs="georgia" w:ascii="georgia" w:hAnsi="georgia"/>
          <w:color w:val="000000"/>
        </w:rPr>
        <w:t xml:space="preserve">Both cases can be framed as mis-specified contextual bandit problems with skewed confusion matrices that over-allocate to already-advantaged groups and under-allocate to those most at risk. They also show that fairness-aware bandit policies, equipped with the right context and constraints, could in principle have reduced these inequities. As such, they provide a compelling empirical foundation and validation for research into context-rich, fairness-aware decision-making algorithms for healthcare and beyond.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references"/>
      <w:r>
        <w:rPr>
          <w:rFonts w:eastAsia="georgia" w:cs="georgia" w:ascii="georgia" w:hAnsi="georgia"/>
          <w:b/>
          <w:color w:val="000000"/>
          <w:sz w:val="24"/>
        </w:rPr>
        <w:t xml:space="preserve">References</w:t>
      </w:r>
      <w:bookmarkEnd w:id="32"/>
    </w:p>
    <w:p>
      <w:pPr>
        <w:numPr>
          <w:ilvl w:val="0"/>
          <w:numId w:val="25"/>
        </w:numPr>
        <w:spacing w:line="360" w:after="210" w:lineRule="auto"/>
      </w:pPr>
      <w:hyperlink r:id="rId5">
        <w:r>
          <w:rPr>
            <w:rFonts w:eastAsia="helvetica neue" w:cs="helvetica neue" w:ascii="helvetica neue" w:hAnsi="helvetica neue"/>
            <w:color w:val="#000"/>
            <w:sz w:val="21"/>
            <w:u w:val="single"/>
          </w:rPr>
          <w:t xml:space="preserve">Racial and ethnic inequities in the early distribution of U.S. COVID ...</w:t>
        </w:r>
      </w:hyperlink>
      <w:r>
        <w:rPr>
          <w:rFonts w:eastAsia="georgia" w:cs="georgia" w:ascii="georgia" w:hAnsi="georgia"/>
          <w:color w:val="000000"/>
          <w:sz w:val="21"/>
        </w:rPr>
        <w:t xml:space="preserve"> - In the testing site location set on 16 April 2020 (n = 2821), empirical testing sites were in zip co...</w:t>
      </w:r>
    </w:p>
    <w:p>
      <w:pPr>
        <w:numPr>
          <w:ilvl w:val="0"/>
          <w:numId w:val="25"/>
        </w:numPr>
        <w:spacing w:line="360" w:after="210" w:lineRule="auto"/>
      </w:pPr>
      <w:hyperlink r:id="rId6">
        <w:r>
          <w:rPr>
            <w:rFonts w:eastAsia="helvetica neue" w:cs="helvetica neue" w:ascii="helvetica neue" w:hAnsi="helvetica neue"/>
            <w:color w:val="#000"/>
            <w:sz w:val="21"/>
            <w:u w:val="single"/>
          </w:rPr>
          <w:t xml:space="preserve">Addressing COVID-19 Testing Inequities Among Underserved ...</w:t>
        </w:r>
      </w:hyperlink>
      <w:r>
        <w:rPr>
          <w:rFonts w:eastAsia="georgia" w:cs="georgia" w:ascii="georgia" w:hAnsi="georgia"/>
          <w:color w:val="000000"/>
          <w:sz w:val="21"/>
        </w:rPr>
        <w:t xml:space="preserve"> - Access to COVID-19 testing has been inequitable and misaligned with community need. However, communi...</w:t>
      </w:r>
    </w:p>
    <w:p>
      <w:pPr>
        <w:numPr>
          <w:ilvl w:val="0"/>
          <w:numId w:val="25"/>
        </w:numPr>
        <w:spacing w:line="360" w:after="210" w:lineRule="auto"/>
      </w:pPr>
      <w:hyperlink r:id="rId7">
        <w:r>
          <w:rPr>
            <w:rFonts w:eastAsia="helvetica neue" w:cs="helvetica neue" w:ascii="helvetica neue" w:hAnsi="helvetica neue"/>
            <w:color w:val="#000"/>
            <w:sz w:val="21"/>
            <w:u w:val="single"/>
          </w:rPr>
          <w:t xml:space="preserve">Racial bias and reproducibility in pulse oximetry among medical and surgical inpatients in general care in the Veterans Health Administration 2013-19: multicenter, retrospective cohort study</w:t>
        </w:r>
      </w:hyperlink>
      <w:r>
        <w:rPr>
          <w:rFonts w:eastAsia="georgia" w:cs="georgia" w:ascii="georgia" w:hAnsi="georgia"/>
          <w:color w:val="000000"/>
          <w:sz w:val="21"/>
        </w:rPr>
        <w:t xml:space="preserve"> - Abstract Objectives To evaluate measurement discrepancies by race between pulse oximetry and arteria...</w:t>
      </w:r>
    </w:p>
    <w:p>
      <w:pPr>
        <w:numPr>
          <w:ilvl w:val="0"/>
          <w:numId w:val="25"/>
        </w:numPr>
        <w:spacing w:line="360" w:after="210" w:lineRule="auto"/>
      </w:pPr>
      <w:hyperlink r:id="rId8">
        <w:r>
          <w:rPr>
            <w:rFonts w:eastAsia="helvetica neue" w:cs="helvetica neue" w:ascii="helvetica neue" w:hAnsi="helvetica neue"/>
            <w:color w:val="#000"/>
            <w:sz w:val="21"/>
            <w:u w:val="single"/>
          </w:rPr>
          <w:t xml:space="preserve">Racial and Ethnic Discrepancy in Pulse Oximetry and Delayed ...</w:t>
        </w:r>
      </w:hyperlink>
      <w:r>
        <w:rPr>
          <w:rFonts w:eastAsia="georgia" w:cs="georgia" w:ascii="georgia" w:hAnsi="georgia"/>
          <w:color w:val="000000"/>
          <w:sz w:val="21"/>
        </w:rPr>
        <w:t xml:space="preserve"> - The results of this cohort study suggest that racial and ethnic biases in pulse oximetry accuracy we...</w:t>
      </w:r>
    </w:p>
    <w:p>
      <w:pPr>
        <w:numPr>
          <w:ilvl w:val="0"/>
          <w:numId w:val="25"/>
        </w:numPr>
        <w:spacing w:line="360" w:after="210" w:lineRule="auto"/>
      </w:pPr>
      <w:hyperlink r:id="rId9">
        <w:r>
          <w:rPr>
            <w:rFonts w:eastAsia="helvetica neue" w:cs="helvetica neue" w:ascii="helvetica neue" w:hAnsi="helvetica neue"/>
            <w:color w:val="#000"/>
            <w:sz w:val="21"/>
            <w:u w:val="single"/>
          </w:rPr>
          <w:t xml:space="preserve">Racial/Ethnic Disparities in Exposure, Disease Susceptibility ... - CDC</w:t>
        </w:r>
      </w:hyperlink>
      <w:r>
        <w:rPr>
          <w:rFonts w:eastAsia="georgia" w:cs="georgia" w:ascii="georgia" w:hAnsi="georgia"/>
          <w:color w:val="000000"/>
          <w:sz w:val="21"/>
        </w:rPr>
        <w:t xml:space="preserve"> - Our objective was to examine the influence of racial and ethnic differences in social determinants o...</w:t>
      </w:r>
    </w:p>
    <w:p>
      <w:pPr>
        <w:numPr>
          <w:ilvl w:val="0"/>
          <w:numId w:val="25"/>
        </w:numPr>
        <w:spacing w:line="360" w:after="210" w:lineRule="auto"/>
      </w:pPr>
      <w:hyperlink r:id="rId10">
        <w:r>
          <w:rPr>
            <w:rFonts w:eastAsia="helvetica neue" w:cs="helvetica neue" w:ascii="helvetica neue" w:hAnsi="helvetica neue"/>
            <w:color w:val="#000"/>
            <w:sz w:val="21"/>
            <w:u w:val="single"/>
          </w:rPr>
          <w:t xml:space="preserve">COVID-19 Provisional Counts - Health Disparities - CDC</w:t>
        </w:r>
      </w:hyperlink>
      <w:r>
        <w:rPr>
          <w:rFonts w:eastAsia="georgia" w:cs="georgia" w:ascii="georgia" w:hAnsi="georgia"/>
          <w:color w:val="000000"/>
          <w:sz w:val="21"/>
        </w:rPr>
        <w:t xml:space="preserve"> - Tabulated data on provisional COVID-19 deaths by age, sex, race and Hispanic origin, and comorbiditi...</w:t>
      </w:r>
    </w:p>
    <w:p>
      <w:pPr>
        <w:numPr>
          <w:ilvl w:val="0"/>
          <w:numId w:val="25"/>
        </w:numPr>
        <w:spacing w:line="360" w:after="210" w:lineRule="auto"/>
      </w:pPr>
      <w:hyperlink r:id="rId11">
        <w:r>
          <w:rPr>
            <w:rFonts w:eastAsia="helvetica neue" w:cs="helvetica neue" w:ascii="helvetica neue" w:hAnsi="helvetica neue"/>
            <w:color w:val="#000"/>
            <w:sz w:val="21"/>
            <w:u w:val="single"/>
          </w:rPr>
          <w:t xml:space="preserve">CDC finds COVID-19 antigen tests less accurate in real world than ...</w:t>
        </w:r>
      </w:hyperlink>
      <w:r>
        <w:rPr>
          <w:rFonts w:eastAsia="georgia" w:cs="georgia" w:ascii="georgia" w:hAnsi="georgia"/>
          <w:color w:val="000000"/>
          <w:sz w:val="21"/>
        </w:rPr>
        <w:t xml:space="preserve"> - Tech transfer is all about what’s new: New technologies, new partnerships, new products, new benefit...</w:t>
      </w:r>
    </w:p>
    <w:p>
      <w:pPr>
        <w:numPr>
          <w:ilvl w:val="0"/>
          <w:numId w:val="25"/>
        </w:numPr>
        <w:spacing w:line="360" w:after="210" w:lineRule="auto"/>
      </w:pPr>
      <w:hyperlink r:id="rId12">
        <w:r>
          <w:rPr>
            <w:rFonts w:eastAsia="helvetica neue" w:cs="helvetica neue" w:ascii="helvetica neue" w:hAnsi="helvetica neue"/>
            <w:color w:val="#000"/>
            <w:sz w:val="21"/>
            <w:u w:val="single"/>
          </w:rPr>
          <w:t xml:space="preserve">Clinical Outcomes Associated With Overestimation of Oxygen Saturation by Pulse Oximetry in Patients Hospitalized With COVID-19</w:t>
        </w:r>
      </w:hyperlink>
      <w:r>
        <w:rPr>
          <w:rFonts w:eastAsia="georgia" w:cs="georgia" w:ascii="georgia" w:hAnsi="georgia"/>
          <w:color w:val="000000"/>
          <w:sz w:val="21"/>
        </w:rPr>
        <w:t xml:space="preserve"> - Key Points Question Is overestimation of oxygen saturation by pulse oximeters associated with delaye...</w:t>
      </w:r>
    </w:p>
    <w:p>
      <w:pPr>
        <w:numPr>
          <w:ilvl w:val="0"/>
          <w:numId w:val="25"/>
        </w:numPr>
        <w:spacing w:line="360" w:after="210" w:lineRule="auto"/>
      </w:pPr>
      <w:hyperlink r:id="rId13">
        <w:r>
          <w:rPr>
            <w:rFonts w:eastAsia="helvetica neue" w:cs="helvetica neue" w:ascii="helvetica neue" w:hAnsi="helvetica neue"/>
            <w:color w:val="#000"/>
            <w:sz w:val="21"/>
            <w:u w:val="single"/>
          </w:rPr>
          <w:t xml:space="preserve">Racial Disparity in Oxygen Saturation Measurements by Pulse Oximetry: Evidence and Implications.</w:t>
        </w:r>
      </w:hyperlink>
      <w:r>
        <w:rPr>
          <w:rFonts w:eastAsia="georgia" w:cs="georgia" w:ascii="georgia" w:hAnsi="georgia"/>
          <w:color w:val="000000"/>
          <w:sz w:val="21"/>
        </w:rPr>
        <w:t xml:space="preserve"> - The pulse oximeter is a ubiquitous clinical tool used to estimate blood oxygen levels. However, decr...</w:t>
      </w:r>
    </w:p>
    <w:p>
      <w:pPr>
        <w:numPr>
          <w:ilvl w:val="0"/>
          <w:numId w:val="25"/>
        </w:numPr>
        <w:spacing w:line="360" w:after="210" w:lineRule="auto"/>
      </w:pPr>
      <w:hyperlink r:id="rId14">
        <w:r>
          <w:rPr>
            <w:rFonts w:eastAsia="helvetica neue" w:cs="helvetica neue" w:ascii="helvetica neue" w:hAnsi="helvetica neue"/>
            <w:color w:val="#000"/>
            <w:sz w:val="21"/>
            <w:u w:val="single"/>
          </w:rPr>
          <w:t xml:space="preserve">Why racial differences in pulse oximetry errors matter - PMC - NIH</w:t>
        </w:r>
      </w:hyperlink>
    </w:p>
    <w:p>
      <w:pPr>
        <w:numPr>
          <w:ilvl w:val="0"/>
          <w:numId w:val="25"/>
        </w:numPr>
        <w:spacing w:line="360" w:after="210" w:lineRule="auto"/>
      </w:pPr>
      <w:hyperlink r:id="rId15">
        <w:r>
          <w:rPr>
            <w:rFonts w:eastAsia="helvetica neue" w:cs="helvetica neue" w:ascii="helvetica neue" w:hAnsi="helvetica neue"/>
            <w:color w:val="#000"/>
            <w:sz w:val="21"/>
            <w:u w:val="single"/>
          </w:rPr>
          <w:t xml:space="preserve">[PDF] Differential Pulse Oximeter Accuracy, Occult Hypoxemia Prevalence ...</w:t>
        </w:r>
      </w:hyperlink>
    </w:p>
    <w:p>
      <w:pPr>
        <w:numPr>
          <w:ilvl w:val="0"/>
          <w:numId w:val="25"/>
        </w:numPr>
        <w:spacing w:line="360" w:after="210" w:lineRule="auto"/>
      </w:pPr>
      <w:hyperlink r:id="rId16">
        <w:r>
          <w:rPr>
            <w:rFonts w:eastAsia="helvetica neue" w:cs="helvetica neue" w:ascii="helvetica neue" w:hAnsi="helvetica neue"/>
            <w:color w:val="#000"/>
            <w:sz w:val="21"/>
            <w:u w:val="single"/>
          </w:rPr>
          <w:t xml:space="preserve">Racial Disparities in Pulse Oximeter Device Inaccuracy and ...</w:t>
        </w:r>
      </w:hyperlink>
      <w:r>
        <w:rPr>
          <w:rFonts w:eastAsia="georgia" w:cs="georgia" w:ascii="georgia" w:hAnsi="georgia"/>
          <w:color w:val="000000"/>
          <w:sz w:val="21"/>
        </w:rPr>
        <w:t xml:space="preserve"> - We analyzed pulse oximeter accuracy and its association with COVID-19 treatment outcomes using elect...</w:t>
      </w:r>
    </w:p>
    <w:p>
      <w:pPr>
        <w:numPr>
          <w:ilvl w:val="0"/>
          <w:numId w:val="25"/>
        </w:numPr>
        <w:spacing w:line="360" w:after="210" w:lineRule="auto"/>
      </w:pPr>
      <w:hyperlink r:id="rId17">
        <w:r>
          <w:rPr>
            <w:rFonts w:eastAsia="helvetica neue" w:cs="helvetica neue" w:ascii="helvetica neue" w:hAnsi="helvetica neue"/>
            <w:color w:val="#000"/>
            <w:sz w:val="21"/>
            <w:u w:val="single"/>
          </w:rPr>
          <w:t xml:space="preserve">Study Uncovers How Medical Device Bias Could Lead to 5-Hour ...</w:t>
        </w:r>
      </w:hyperlink>
      <w:r>
        <w:rPr>
          <w:rFonts w:eastAsia="georgia" w:cs="georgia" w:ascii="georgia" w:hAnsi="georgia"/>
          <w:color w:val="000000"/>
          <w:sz w:val="21"/>
        </w:rPr>
        <w:t xml:space="preserve"> - The research revealed that pulse oximeter errors could have led Black patients to face a 4.5-hour de...</w:t>
      </w:r>
    </w:p>
    <w:p>
      <w:pPr>
        <w:numPr>
          <w:ilvl w:val="0"/>
          <w:numId w:val="25"/>
        </w:numPr>
        <w:spacing w:line="360" w:after="210" w:lineRule="auto"/>
      </w:pPr>
      <w:hyperlink r:id="rId18">
        <w:r>
          <w:rPr>
            <w:rFonts w:eastAsia="helvetica neue" w:cs="helvetica neue" w:ascii="helvetica neue" w:hAnsi="helvetica neue"/>
            <w:color w:val="#000"/>
            <w:sz w:val="21"/>
            <w:u w:val="single"/>
          </w:rPr>
          <w:t xml:space="preserve">Disparities in COVID-19 Outcomes by Race, Ethnicity, and ... - PMC</w:t>
        </w:r>
      </w:hyperlink>
      <w:r>
        <w:rPr>
          <w:rFonts w:eastAsia="georgia" w:cs="georgia" w:ascii="georgia" w:hAnsi="georgia"/>
          <w:color w:val="000000"/>
          <w:sz w:val="21"/>
        </w:rPr>
        <w:t xml:space="preserve"> - Comprehensive testing highlights racial, ethnic, and age disparities in the COVID-19 outbreak: epide...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8420583/" TargetMode="External"/><Relationship Id="rId6" Type="http://schemas.openxmlformats.org/officeDocument/2006/relationships/hyperlink" Target="https://pmc.ncbi.nlm.nih.gov/articles/PMC8987278/" TargetMode="External"/><Relationship Id="rId7" Type="http://schemas.openxmlformats.org/officeDocument/2006/relationships/hyperlink" Target="https://www.bmj.com/lookup/doi/10.1136/bmj-2021-069775" TargetMode="External"/><Relationship Id="rId8" Type="http://schemas.openxmlformats.org/officeDocument/2006/relationships/hyperlink" Target="https://pubmed.ncbi.nlm.nih.gov/35639368/" TargetMode="External"/><Relationship Id="rId9" Type="http://schemas.openxmlformats.org/officeDocument/2006/relationships/hyperlink" Target="https://wwwnc.cdc.gov/eid/article/28/11/22-0072_article" TargetMode="External"/><Relationship Id="rId10" Type="http://schemas.openxmlformats.org/officeDocument/2006/relationships/hyperlink" Target="https://www.cdc.gov/nchs/nvss/vsrr/covid19/health_disparities.htm" TargetMode="External"/><Relationship Id="rId11" Type="http://schemas.openxmlformats.org/officeDocument/2006/relationships/hyperlink" Target="https://federallabs.org/flc-highlights/federal-lab-news/cdc-finds-covid-19-antigen-tests-less-accurate-in-real-world-than-in-eua-data" TargetMode="External"/><Relationship Id="rId12" Type="http://schemas.openxmlformats.org/officeDocument/2006/relationships/hyperlink" Target="https://jamanetwork.com/journals/jamanetworkopen/fullarticle/2808735" TargetMode="External"/><Relationship Id="rId13" Type="http://schemas.openxmlformats.org/officeDocument/2006/relationships/hyperlink" Target="https://academic.oup.com/annalsats/article/19/12/1951/8417773" TargetMode="External"/><Relationship Id="rId14" Type="http://schemas.openxmlformats.org/officeDocument/2006/relationships/hyperlink" Target="https://pmc.ncbi.nlm.nih.gov/articles/PMC8887789/" TargetMode="External"/><Relationship Id="rId15" Type="http://schemas.openxmlformats.org/officeDocument/2006/relationships/hyperlink" Target="https://www.hsrd.research.va.gov/publications/esp/pulse-oximetry.pdf" TargetMode="External"/><Relationship Id="rId16" Type="http://schemas.openxmlformats.org/officeDocument/2006/relationships/hyperlink" Target="https://pubmed.ncbi.nlm.nih.gov/36173743/" TargetMode="External"/><Relationship Id="rId17" Type="http://schemas.openxmlformats.org/officeDocument/2006/relationships/hyperlink" Target="https://vitals.sutterhealth.org/study-uncovers-how-medical-device-bias-could-lead-to-5-hour-delays-in-covid-19-treatment-for-black-patients/" TargetMode="External"/><Relationship Id="rId18" Type="http://schemas.openxmlformats.org/officeDocument/2006/relationships/hyperlink" Target="https://pmc.ncbi.nlm.nih.gov/articles/PMC858690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2026-05-01T02:02:09.092Z</dcterms:created>
  <dcterms:modified xsi:type="dcterms:W3CDTF">2026-05-01T02:02:09.092Z</dcterms:modified>
</cp:coreProperties>
</file>