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ask-7---invisible-invaders-camp-tools"/>
    <w:p>
      <w:pPr>
        <w:pStyle w:val="Heading1"/>
      </w:pPr>
      <w:r>
        <w:t xml:space="preserve">Task 7 - Invisible Invaders Camp Tools</w:t>
      </w:r>
    </w:p>
    <w:p>
      <w:pPr>
        <w:pStyle w:val="FirstParagraph"/>
      </w:pPr>
      <w:r>
        <w:rPr>
          <w:b/>
          <w:bCs/>
        </w:rPr>
        <w:t xml:space="preserve">Team:</w:t>
      </w:r>
      <w:r>
        <w:t xml:space="preserve"> </w:t>
      </w:r>
      <w:r>
        <w:t xml:space="preserve">Piter Garcia and Aastha</w:t>
      </w:r>
    </w:p>
    <w:p>
      <w:pPr>
        <w:pStyle w:val="BodyText"/>
      </w:pPr>
      <w:r>
        <w:t xml:space="preserve">These templates turn the curriculum review into usable camp materials. Campers may respond by drawing, writing, speaking, recording audio, using home language, pointing to cards, dictating to a partner, or combining modes. A private experience, diagnosis, identity, or health disclosure is never required.</w:t>
      </w:r>
    </w:p>
    <w:bookmarkStart w:id="9" w:name="Xd228ec8cd338c447c1ea66cc187822e064d0c95"/>
    <w:p>
      <w:pPr>
        <w:pStyle w:val="Heading2"/>
      </w:pPr>
      <w:r>
        <w:t xml:space="preserve">Tool 1 - Initial Model And Question Builder</w:t>
      </w:r>
    </w:p>
    <w:p>
      <w:pPr>
        <w:pStyle w:val="FirstParagraph"/>
      </w:pPr>
      <w:r>
        <w:rPr>
          <w:b/>
          <w:bCs/>
        </w:rPr>
        <w:t xml:space="preserve">Question:</w:t>
      </w:r>
      <w:r>
        <w:t xml:space="preserve"> </w:t>
      </w:r>
      <w:r>
        <w:t xml:space="preserve">How could suspected particles reach both an outdoor parking lot and an indoor classroom?</w:t>
      </w:r>
    </w:p>
    <w:p>
      <w:pPr>
        <w:pStyle w:val="BodyText"/>
      </w:pPr>
      <w:r>
        <w:t xml:space="preserve">Show what you think happens using arrows, words, drawing, objects, audio, or another mode.</w:t>
      </w:r>
    </w:p>
    <w:p>
      <w:pPr>
        <w:pStyle w:val="Compact"/>
        <w:numPr>
          <w:ilvl w:val="0"/>
          <w:numId w:val="1001"/>
        </w:numPr>
      </w:pPr>
      <w:r>
        <w:t xml:space="preserve">Possible source:</w:t>
      </w:r>
    </w:p>
    <w:p>
      <w:pPr>
        <w:pStyle w:val="Compact"/>
        <w:numPr>
          <w:ilvl w:val="0"/>
          <w:numId w:val="1001"/>
        </w:numPr>
      </w:pPr>
      <w:r>
        <w:t xml:space="preserve">What releases or moves the material:</w:t>
      </w:r>
    </w:p>
    <w:p>
      <w:pPr>
        <w:pStyle w:val="Compact"/>
        <w:numPr>
          <w:ilvl w:val="0"/>
          <w:numId w:val="1001"/>
        </w:numPr>
      </w:pPr>
      <w:r>
        <w:t xml:space="preserve">Path outdoors:</w:t>
      </w:r>
    </w:p>
    <w:p>
      <w:pPr>
        <w:pStyle w:val="Compact"/>
        <w:numPr>
          <w:ilvl w:val="0"/>
          <w:numId w:val="1001"/>
        </w:numPr>
      </w:pPr>
      <w:r>
        <w:t xml:space="preserve">Path indoors:</w:t>
      </w:r>
    </w:p>
    <w:p>
      <w:pPr>
        <w:pStyle w:val="Compact"/>
        <w:numPr>
          <w:ilvl w:val="0"/>
          <w:numId w:val="1001"/>
        </w:numPr>
      </w:pPr>
      <w:r>
        <w:t xml:space="preserve">Where particles may settle:</w:t>
      </w:r>
    </w:p>
    <w:p>
      <w:pPr>
        <w:pStyle w:val="Compact"/>
        <w:numPr>
          <w:ilvl w:val="0"/>
          <w:numId w:val="1001"/>
        </w:numPr>
      </w:pPr>
      <w:r>
        <w:t xml:space="preserve">What our sample could show:</w:t>
      </w:r>
    </w:p>
    <w:p>
      <w:pPr>
        <w:pStyle w:val="Compact"/>
        <w:numPr>
          <w:ilvl w:val="0"/>
          <w:numId w:val="1001"/>
        </w:numPr>
      </w:pPr>
      <w:r>
        <w:t xml:space="preserve">What our sample could not prove:</w:t>
      </w:r>
    </w:p>
    <w:p>
      <w:pPr>
        <w:pStyle w:val="Compact"/>
        <w:numPr>
          <w:ilvl w:val="0"/>
          <w:numId w:val="1001"/>
        </w:numPr>
      </w:pPr>
      <w:r>
        <w:t xml:space="preserve">One thing I notice:</w:t>
      </w:r>
    </w:p>
    <w:p>
      <w:pPr>
        <w:pStyle w:val="Compact"/>
        <w:numPr>
          <w:ilvl w:val="0"/>
          <w:numId w:val="1001"/>
        </w:numPr>
      </w:pPr>
      <w:r>
        <w:t xml:space="preserve">One thing I wonder:</w:t>
      </w:r>
    </w:p>
    <w:p>
      <w:pPr>
        <w:pStyle w:val="Compact"/>
        <w:numPr>
          <w:ilvl w:val="0"/>
          <w:numId w:val="1001"/>
        </w:numPr>
      </w:pPr>
      <w:r>
        <w:t xml:space="preserve">A related experience or community observation I choose to contribute:</w:t>
      </w:r>
    </w:p>
    <w:p>
      <w:pPr>
        <w:pStyle w:val="FirstParagraph"/>
      </w:pPr>
      <w:r>
        <w:rPr>
          <w:b/>
          <w:bCs/>
        </w:rPr>
        <w:t xml:space="preserve">Uncertainty key:</w:t>
      </w:r>
      <w:r>
        <w:t xml:space="preserve"> </w:t>
      </w:r>
      <w:r>
        <w:rPr>
          <w:rStyle w:val="VerbatimChar"/>
        </w:rPr>
        <w:t xml:space="preserve">I think</w:t>
      </w:r>
      <w:r>
        <w:t xml:space="preserve"> </w:t>
      </w:r>
      <w:r>
        <w:t xml:space="preserve">|</w:t>
      </w:r>
      <w:r>
        <w:t xml:space="preserve"> </w:t>
      </w:r>
      <w:r>
        <w:rPr>
          <w:rStyle w:val="VerbatimChar"/>
        </w:rPr>
        <w:t xml:space="preserve">I have evidence</w:t>
      </w:r>
      <w:r>
        <w:t xml:space="preserve"> </w:t>
      </w:r>
      <w:r>
        <w:t xml:space="preserve">|</w:t>
      </w:r>
      <w:r>
        <w:t xml:space="preserve"> </w:t>
      </w:r>
      <w:r>
        <w:rPr>
          <w:rStyle w:val="VerbatimChar"/>
        </w:rPr>
        <w:t xml:space="preserve">I am unsure</w:t>
      </w:r>
      <w:r>
        <w:t xml:space="preserve"> </w:t>
      </w:r>
      <w:r>
        <w:t xml:space="preserve">|</w:t>
      </w:r>
      <w:r>
        <w:t xml:space="preserve"> </w:t>
      </w:r>
      <w:r>
        <w:rPr>
          <w:rStyle w:val="VerbatimChar"/>
        </w:rPr>
        <w:t xml:space="preserve">We need another test</w:t>
      </w:r>
    </w:p>
    <w:bookmarkEnd w:id="9"/>
    <w:bookmarkStart w:id="10" w:name="tool-2---future-we-want-board"/>
    <w:p>
      <w:pPr>
        <w:pStyle w:val="Heading2"/>
      </w:pPr>
      <w:r>
        <w:t xml:space="preserve">Tool 2 - Future We Want Board</w:t>
      </w:r>
    </w:p>
    <w:p>
      <w:pPr>
        <w:pStyle w:val="FirstParagraph"/>
      </w:pPr>
      <w:r>
        <w:t xml:space="preserve">Finish one or more prompts in any mode.</w:t>
      </w:r>
    </w:p>
    <w:p>
      <w:pPr>
        <w:pStyle w:val="Compact"/>
        <w:numPr>
          <w:ilvl w:val="0"/>
          <w:numId w:val="1002"/>
        </w:numPr>
      </w:pPr>
      <w:r>
        <w:t xml:space="preserve">I want our school or community environment to...</w:t>
      </w:r>
    </w:p>
    <w:p>
      <w:pPr>
        <w:pStyle w:val="Compact"/>
        <w:numPr>
          <w:ilvl w:val="0"/>
          <w:numId w:val="1002"/>
        </w:numPr>
      </w:pPr>
      <w:r>
        <w:t xml:space="preserve">I want people to be able to...</w:t>
      </w:r>
    </w:p>
    <w:p>
      <w:pPr>
        <w:pStyle w:val="Compact"/>
        <w:numPr>
          <w:ilvl w:val="0"/>
          <w:numId w:val="1002"/>
        </w:numPr>
      </w:pPr>
      <w:r>
        <w:t xml:space="preserve">I want decision-makers to stop...</w:t>
      </w:r>
    </w:p>
    <w:p>
      <w:pPr>
        <w:pStyle w:val="Compact"/>
        <w:numPr>
          <w:ilvl w:val="0"/>
          <w:numId w:val="1002"/>
        </w:numPr>
      </w:pPr>
      <w:r>
        <w:t xml:space="preserve">I want decision-makers to start...</w:t>
      </w:r>
    </w:p>
    <w:p>
      <w:pPr>
        <w:pStyle w:val="Compact"/>
        <w:numPr>
          <w:ilvl w:val="0"/>
          <w:numId w:val="1002"/>
        </w:numPr>
      </w:pPr>
      <w:r>
        <w:t xml:space="preserve">I want us to protect...</w:t>
      </w:r>
    </w:p>
    <w:p>
      <w:pPr>
        <w:pStyle w:val="Compact"/>
        <w:numPr>
          <w:ilvl w:val="0"/>
          <w:numId w:val="1002"/>
        </w:numPr>
      </w:pPr>
      <w:r>
        <w:t xml:space="preserve">I want us to repair...</w:t>
      </w:r>
    </w:p>
    <w:p>
      <w:pPr>
        <w:pStyle w:val="Compact"/>
        <w:numPr>
          <w:ilvl w:val="0"/>
          <w:numId w:val="1002"/>
        </w:numPr>
      </w:pPr>
      <w:r>
        <w:t xml:space="preserve">I want products, buildings, roads, clothing, or waste systems to be designed so that...</w:t>
      </w:r>
    </w:p>
    <w:p>
      <w:pPr>
        <w:pStyle w:val="Compact"/>
        <w:numPr>
          <w:ilvl w:val="0"/>
          <w:numId w:val="1002"/>
        </w:numPr>
      </w:pPr>
      <w:r>
        <w:t xml:space="preserve">I do not want a solution that creates this new burden...</w:t>
      </w:r>
    </w:p>
    <w:p>
      <w:pPr>
        <w:pStyle w:val="FirstParagraph"/>
      </w:pPr>
      <w:r>
        <w:t xml:space="preserve">Cluster ideas under:</w:t>
      </w:r>
      <w:r>
        <w:t xml:space="preserve"> </w:t>
      </w:r>
      <w:r>
        <w:rPr>
          <w:b/>
          <w:bCs/>
        </w:rPr>
        <w:t xml:space="preserve">Stop | Start | Protect | Repair | Redesign</w:t>
      </w:r>
      <w:r>
        <w:t xml:space="preserve">.</w:t>
      </w:r>
    </w:p>
    <w:bookmarkEnd w:id="10"/>
    <w:bookmarkStart w:id="11" w:name="tool-3---justice-and-power-map"/>
    <w:p>
      <w:pPr>
        <w:pStyle w:val="Heading2"/>
      </w:pPr>
      <w:r>
        <w:t xml:space="preserve">Tool 3 - Justice And Power Map</w:t>
      </w:r>
    </w:p>
    <w:p>
      <w:pPr>
        <w:pStyle w:val="FirstParagraph"/>
      </w:pPr>
      <w:r>
        <w:t xml:space="preserve">Choose one pathway or plastic-related system. Evidence may come from samples, maps, observations, community knowledge, or direct sources.</w:t>
      </w:r>
    </w:p>
    <w:p>
      <w:pPr>
        <w:pStyle w:val="BodyText"/>
      </w:pPr>
      <w:r>
        <w:t xml:space="preserve">For each prompt, record</w:t>
      </w:r>
      <w:r>
        <w:t xml:space="preserve"> </w:t>
      </w:r>
      <w:r>
        <w:rPr>
          <w:b/>
          <w:bCs/>
        </w:rPr>
        <w:t xml:space="preserve">our current evidence or idea</w:t>
      </w:r>
      <w:r>
        <w:t xml:space="preserve"> </w:t>
      </w:r>
      <w:r>
        <w:t xml:space="preserve">and</w:t>
      </w:r>
      <w:r>
        <w:t xml:space="preserve"> </w:t>
      </w:r>
      <w:r>
        <w:rPr>
          <w:b/>
          <w:bCs/>
        </w:rPr>
        <w:t xml:space="preserve">what we still need</w:t>
      </w:r>
      <w:r>
        <w:t xml:space="preserve">.</w:t>
      </w:r>
    </w:p>
    <w:p>
      <w:pPr>
        <w:pStyle w:val="Compact"/>
        <w:numPr>
          <w:ilvl w:val="0"/>
          <w:numId w:val="1003"/>
        </w:numPr>
      </w:pPr>
      <w:r>
        <w:t xml:space="preserve">Who produces or sells it?</w:t>
      </w:r>
    </w:p>
    <w:p>
      <w:pPr>
        <w:pStyle w:val="Compact"/>
        <w:numPr>
          <w:ilvl w:val="0"/>
          <w:numId w:val="1003"/>
        </w:numPr>
      </w:pPr>
      <w:r>
        <w:t xml:space="preserve">Who benefits from the current system?</w:t>
      </w:r>
    </w:p>
    <w:p>
      <w:pPr>
        <w:pStyle w:val="Compact"/>
        <w:numPr>
          <w:ilvl w:val="0"/>
          <w:numId w:val="1003"/>
        </w:numPr>
      </w:pPr>
      <w:r>
        <w:t xml:space="preserve">Who uses it, and what choices are realistically available?</w:t>
      </w:r>
    </w:p>
    <w:p>
      <w:pPr>
        <w:pStyle w:val="Compact"/>
        <w:numPr>
          <w:ilvl w:val="0"/>
          <w:numId w:val="1003"/>
        </w:numPr>
      </w:pPr>
      <w:r>
        <w:t xml:space="preserve">Who may face exposure or environmental burden?</w:t>
      </w:r>
    </w:p>
    <w:p>
      <w:pPr>
        <w:pStyle w:val="Compact"/>
        <w:numPr>
          <w:ilvl w:val="0"/>
          <w:numId w:val="1003"/>
        </w:numPr>
      </w:pPr>
      <w:r>
        <w:t xml:space="preserve">Who performs cleanup, maintenance, or monitoring labor?</w:t>
      </w:r>
    </w:p>
    <w:p>
      <w:pPr>
        <w:pStyle w:val="Compact"/>
        <w:numPr>
          <w:ilvl w:val="0"/>
          <w:numId w:val="1003"/>
        </w:numPr>
      </w:pPr>
      <w:r>
        <w:t xml:space="preserve">Who can make or block a change?</w:t>
      </w:r>
    </w:p>
    <w:p>
      <w:pPr>
        <w:pStyle w:val="Compact"/>
        <w:numPr>
          <w:ilvl w:val="0"/>
          <w:numId w:val="1003"/>
        </w:numPr>
      </w:pPr>
      <w:r>
        <w:t xml:space="preserve">Whose knowledge is treated as credible?</w:t>
      </w:r>
    </w:p>
    <w:p>
      <w:pPr>
        <w:pStyle w:val="Compact"/>
        <w:numPr>
          <w:ilvl w:val="0"/>
          <w:numId w:val="1003"/>
        </w:numPr>
      </w:pPr>
      <w:r>
        <w:t xml:space="preserve">Who or what more-than-human life is affected?</w:t>
      </w:r>
    </w:p>
    <w:p>
      <w:pPr>
        <w:pStyle w:val="FirstParagraph"/>
      </w:pPr>
      <w:r>
        <w:rPr>
          <w:b/>
          <w:bCs/>
        </w:rPr>
        <w:t xml:space="preserve">Justice check:</w:t>
      </w:r>
      <w:r>
        <w:t xml:space="preserve"> </w:t>
      </w:r>
      <w:r>
        <w:t xml:space="preserve">Shared responsibility does not mean equal responsibility, equal power, equal benefit, or equal access to alternatives.</w:t>
      </w:r>
    </w:p>
    <w:bookmarkEnd w:id="11"/>
    <w:bookmarkStart w:id="16" w:name="tool-4---evidence-to-action-planner"/>
    <w:p>
      <w:pPr>
        <w:pStyle w:val="Heading2"/>
      </w:pPr>
      <w:r>
        <w:t xml:space="preserve">Tool 4 - Evidence-To-Action Planner</w:t>
      </w:r>
    </w:p>
    <w:bookmarkStart w:id="12" w:name="what-we-found"/>
    <w:p>
      <w:pPr>
        <w:pStyle w:val="Heading3"/>
      </w:pPr>
      <w:r>
        <w:t xml:space="preserve">What We Found</w:t>
      </w:r>
    </w:p>
    <w:p>
      <w:pPr>
        <w:pStyle w:val="Compact"/>
        <w:numPr>
          <w:ilvl w:val="0"/>
          <w:numId w:val="1004"/>
        </w:numPr>
      </w:pPr>
      <w:r>
        <w:t xml:space="preserve">Our strongest evidence:</w:t>
      </w:r>
    </w:p>
    <w:p>
      <w:pPr>
        <w:pStyle w:val="Compact"/>
        <w:numPr>
          <w:ilvl w:val="0"/>
          <w:numId w:val="1004"/>
        </w:numPr>
      </w:pPr>
      <w:r>
        <w:t xml:space="preserve">What it supports:</w:t>
      </w:r>
    </w:p>
    <w:p>
      <w:pPr>
        <w:pStyle w:val="Compact"/>
        <w:numPr>
          <w:ilvl w:val="0"/>
          <w:numId w:val="1004"/>
        </w:numPr>
      </w:pPr>
      <w:r>
        <w:t xml:space="preserve">What it does not prove:</w:t>
      </w:r>
    </w:p>
    <w:p>
      <w:pPr>
        <w:pStyle w:val="Compact"/>
        <w:numPr>
          <w:ilvl w:val="0"/>
          <w:numId w:val="1004"/>
        </w:numPr>
      </w:pPr>
      <w:r>
        <w:t xml:space="preserve">One uncertainty we need to communicate:</w:t>
      </w:r>
    </w:p>
    <w:bookmarkEnd w:id="12"/>
    <w:bookmarkStart w:id="13" w:name="what-we-want"/>
    <w:p>
      <w:pPr>
        <w:pStyle w:val="Heading3"/>
      </w:pPr>
      <w:r>
        <w:t xml:space="preserve">What We Want</w:t>
      </w:r>
    </w:p>
    <w:p>
      <w:pPr>
        <w:pStyle w:val="Compact"/>
        <w:numPr>
          <w:ilvl w:val="0"/>
          <w:numId w:val="1005"/>
        </w:numPr>
      </w:pPr>
      <w:r>
        <w:t xml:space="preserve">The future or condition we want:</w:t>
      </w:r>
    </w:p>
    <w:p>
      <w:pPr>
        <w:pStyle w:val="Compact"/>
        <w:numPr>
          <w:ilvl w:val="0"/>
          <w:numId w:val="1005"/>
        </w:numPr>
      </w:pPr>
      <w:r>
        <w:t xml:space="preserve">The specific change we are asking for:</w:t>
      </w:r>
    </w:p>
    <w:p>
      <w:pPr>
        <w:pStyle w:val="Compact"/>
        <w:numPr>
          <w:ilvl w:val="0"/>
          <w:numId w:val="1005"/>
        </w:numPr>
      </w:pPr>
      <w:r>
        <w:t xml:space="preserve">The person, group, institution, company, or policymaker who can act:</w:t>
      </w:r>
    </w:p>
    <w:p>
      <w:pPr>
        <w:pStyle w:val="Compact"/>
        <w:numPr>
          <w:ilvl w:val="0"/>
          <w:numId w:val="1005"/>
        </w:numPr>
      </w:pPr>
      <w:r>
        <w:t xml:space="preserve">Why this audience should listen:</w:t>
      </w:r>
    </w:p>
    <w:bookmarkEnd w:id="13"/>
    <w:bookmarkStart w:id="14" w:name="justice-check"/>
    <w:p>
      <w:pPr>
        <w:pStyle w:val="Heading3"/>
      </w:pPr>
      <w:r>
        <w:t xml:space="preserve">Justice Check</w:t>
      </w:r>
    </w:p>
    <w:p>
      <w:pPr>
        <w:pStyle w:val="Compact"/>
        <w:numPr>
          <w:ilvl w:val="0"/>
          <w:numId w:val="1006"/>
        </w:numPr>
      </w:pPr>
      <w:r>
        <w:t xml:space="preserve">Who benefits if this happens?</w:t>
      </w:r>
    </w:p>
    <w:p>
      <w:pPr>
        <w:pStyle w:val="Compact"/>
        <w:numPr>
          <w:ilvl w:val="0"/>
          <w:numId w:val="1006"/>
        </w:numPr>
      </w:pPr>
      <w:r>
        <w:t xml:space="preserve">Who might carry new cost, labor, surveillance, shame, or risk?</w:t>
      </w:r>
    </w:p>
    <w:p>
      <w:pPr>
        <w:pStyle w:val="Compact"/>
        <w:numPr>
          <w:ilvl w:val="0"/>
          <w:numId w:val="1006"/>
        </w:numPr>
      </w:pPr>
      <w:r>
        <w:t xml:space="preserve">How can we redesign the request to avoid that harm?</w:t>
      </w:r>
    </w:p>
    <w:p>
      <w:pPr>
        <w:pStyle w:val="Compact"/>
        <w:numPr>
          <w:ilvl w:val="0"/>
          <w:numId w:val="1006"/>
        </w:numPr>
      </w:pPr>
      <w:r>
        <w:t xml:space="preserve">Whose input or permission is still missing?</w:t>
      </w:r>
    </w:p>
    <w:bookmarkEnd w:id="14"/>
    <w:bookmarkStart w:id="15" w:name="communication-choice"/>
    <w:p>
      <w:pPr>
        <w:pStyle w:val="Heading3"/>
      </w:pPr>
      <w:r>
        <w:t xml:space="preserve">Communication Choice</w:t>
      </w:r>
    </w:p>
    <w:p>
      <w:pPr>
        <w:pStyle w:val="Compact"/>
        <w:numPr>
          <w:ilvl w:val="0"/>
          <w:numId w:val="1007"/>
        </w:numPr>
      </w:pPr>
      <w:r>
        <w:t xml:space="preserve">Audience:</w:t>
      </w:r>
    </w:p>
    <w:p>
      <w:pPr>
        <w:pStyle w:val="Compact"/>
        <w:numPr>
          <w:ilvl w:val="0"/>
          <w:numId w:val="1007"/>
        </w:numPr>
      </w:pPr>
      <w:r>
        <w:t xml:space="preserve">Mode: art | poster | model | audio | captioned video | live explanation | other</w:t>
      </w:r>
    </w:p>
    <w:p>
      <w:pPr>
        <w:pStyle w:val="Compact"/>
        <w:numPr>
          <w:ilvl w:val="0"/>
          <w:numId w:val="1007"/>
        </w:numPr>
      </w:pPr>
      <w:r>
        <w:t xml:space="preserve">Language or languages:</w:t>
      </w:r>
    </w:p>
    <w:p>
      <w:pPr>
        <w:pStyle w:val="Compact"/>
        <w:numPr>
          <w:ilvl w:val="0"/>
          <w:numId w:val="1007"/>
        </w:numPr>
      </w:pPr>
      <w:r>
        <w:t xml:space="preserve">Public, private, prerecorded, partner-supported, or mixed:</w:t>
      </w:r>
    </w:p>
    <w:p>
      <w:pPr>
        <w:pStyle w:val="Compact"/>
        <w:numPr>
          <w:ilvl w:val="0"/>
          <w:numId w:val="1007"/>
        </w:numPr>
      </w:pPr>
      <w:r>
        <w:t xml:space="preserve">What we want the audience to do after engaging with our work:</w:t>
      </w:r>
    </w:p>
    <w:bookmarkEnd w:id="15"/>
    <w:bookmarkEnd w:id="16"/>
    <w:bookmarkStart w:id="17" w:name="tool-5---model-revision-record"/>
    <w:p>
      <w:pPr>
        <w:pStyle w:val="Heading2"/>
      </w:pPr>
      <w:r>
        <w:t xml:space="preserve">Tool 5 - Model Revision Record</w:t>
      </w:r>
    </w:p>
    <w:p>
      <w:pPr>
        <w:pStyle w:val="FirstParagraph"/>
      </w:pPr>
      <w:r>
        <w:t xml:space="preserve">Compare the Monday model with the Thursday model.</w:t>
      </w:r>
    </w:p>
    <w:p>
      <w:pPr>
        <w:pStyle w:val="Compact"/>
        <w:numPr>
          <w:ilvl w:val="0"/>
          <w:numId w:val="1008"/>
        </w:numPr>
      </w:pPr>
      <w:r>
        <w:t xml:space="preserve">One idea we kept because evidence supported it:</w:t>
      </w:r>
    </w:p>
    <w:p>
      <w:pPr>
        <w:pStyle w:val="Compact"/>
        <w:numPr>
          <w:ilvl w:val="0"/>
          <w:numId w:val="1008"/>
        </w:numPr>
      </w:pPr>
      <w:r>
        <w:t xml:space="preserve">One idea we changed:</w:t>
      </w:r>
    </w:p>
    <w:p>
      <w:pPr>
        <w:pStyle w:val="Compact"/>
        <w:numPr>
          <w:ilvl w:val="0"/>
          <w:numId w:val="1008"/>
        </w:numPr>
      </w:pPr>
      <w:r>
        <w:t xml:space="preserve">Evidence that caused the change:</w:t>
      </w:r>
    </w:p>
    <w:p>
      <w:pPr>
        <w:pStyle w:val="Compact"/>
        <w:numPr>
          <w:ilvl w:val="0"/>
          <w:numId w:val="1008"/>
        </w:numPr>
      </w:pPr>
      <w:r>
        <w:t xml:space="preserve">One pathway we added:</w:t>
      </w:r>
    </w:p>
    <w:p>
      <w:pPr>
        <w:pStyle w:val="Compact"/>
        <w:numPr>
          <w:ilvl w:val="0"/>
          <w:numId w:val="1008"/>
        </w:numPr>
      </w:pPr>
      <w:r>
        <w:t xml:space="preserve">One uncertainty we made more visible:</w:t>
      </w:r>
    </w:p>
    <w:p>
      <w:pPr>
        <w:pStyle w:val="Compact"/>
        <w:numPr>
          <w:ilvl w:val="0"/>
          <w:numId w:val="1008"/>
        </w:numPr>
      </w:pPr>
      <w:r>
        <w:t xml:space="preserve">One contribution from a peer or community source that changed our thinking:</w:t>
      </w:r>
    </w:p>
    <w:p>
      <w:pPr>
        <w:pStyle w:val="Compact"/>
        <w:numPr>
          <w:ilvl w:val="0"/>
          <w:numId w:val="1008"/>
        </w:numPr>
      </w:pPr>
      <w:r>
        <w:t xml:space="preserve">One question our current tools cannot answer:</w:t>
      </w:r>
    </w:p>
    <w:p>
      <w:pPr>
        <w:pStyle w:val="Compact"/>
        <w:numPr>
          <w:ilvl w:val="0"/>
          <w:numId w:val="1008"/>
        </w:numPr>
      </w:pPr>
      <w:r>
        <w:t xml:space="preserve">One next investigation that would help:</w:t>
      </w:r>
    </w:p>
    <w:p>
      <w:pPr>
        <w:pStyle w:val="FirstParagraph"/>
      </w:pPr>
      <w:r>
        <w:rPr>
          <w:b/>
          <w:bCs/>
        </w:rPr>
        <w:t xml:space="preserve">Revision is evidence of learning.</w:t>
      </w:r>
      <w:r>
        <w:t xml:space="preserve"> </w:t>
      </w:r>
      <w:r>
        <w:t xml:space="preserve">A changed model is not a failed first model.</w:t>
      </w:r>
    </w:p>
    <w:bookmarkEnd w:id="17"/>
    <w:bookmarkStart w:id="21" w:name="tool-6---showcase-and-audience-feedback"/>
    <w:p>
      <w:pPr>
        <w:pStyle w:val="Heading2"/>
      </w:pPr>
      <w:r>
        <w:t xml:space="preserve">Tool 6 - Showcase And Audience Feedback</w:t>
      </w:r>
    </w:p>
    <w:bookmarkStart w:id="18" w:name="shared-scientific-criteria"/>
    <w:p>
      <w:pPr>
        <w:pStyle w:val="Heading3"/>
      </w:pPr>
      <w:r>
        <w:t xml:space="preserve">Shared Scientific Criteria</w:t>
      </w:r>
    </w:p>
    <w:p>
      <w:pPr>
        <w:pStyle w:val="Compact"/>
        <w:numPr>
          <w:ilvl w:val="0"/>
          <w:numId w:val="1009"/>
        </w:numPr>
      </w:pPr>
      <w:r>
        <w:t xml:space="preserve">The explanation includes a source, release or movement mechanism, transport pathway, observation, and evidence limit.</w:t>
      </w:r>
    </w:p>
    <w:p>
      <w:pPr>
        <w:pStyle w:val="Compact"/>
        <w:numPr>
          <w:ilvl w:val="0"/>
          <w:numId w:val="1009"/>
        </w:numPr>
      </w:pPr>
      <w:r>
        <w:t xml:space="preserve">The product distinguishes suspected particles from confirmed polymer identification.</w:t>
      </w:r>
    </w:p>
    <w:p>
      <w:pPr>
        <w:pStyle w:val="Compact"/>
        <w:numPr>
          <w:ilvl w:val="0"/>
          <w:numId w:val="1009"/>
        </w:numPr>
      </w:pPr>
      <w:r>
        <w:t xml:space="preserve">The action request fits the available evidence.</w:t>
      </w:r>
    </w:p>
    <w:p>
      <w:pPr>
        <w:pStyle w:val="Compact"/>
        <w:numPr>
          <w:ilvl w:val="0"/>
          <w:numId w:val="1009"/>
        </w:numPr>
      </w:pPr>
      <w:r>
        <w:t xml:space="preserve">The justice analysis considers benefit, burden, labor, alternatives, and decision power.</w:t>
      </w:r>
    </w:p>
    <w:p>
      <w:pPr>
        <w:pStyle w:val="Compact"/>
        <w:numPr>
          <w:ilvl w:val="0"/>
          <w:numId w:val="1009"/>
        </w:numPr>
      </w:pPr>
      <w:r>
        <w:t xml:space="preserve">The revised model shows what changed and why.</w:t>
      </w:r>
    </w:p>
    <w:bookmarkEnd w:id="18"/>
    <w:bookmarkStart w:id="19" w:name="production-choice"/>
    <w:p>
      <w:pPr>
        <w:pStyle w:val="Heading3"/>
      </w:pPr>
      <w:r>
        <w:t xml:space="preserve">Production Choice</w:t>
      </w:r>
    </w:p>
    <w:p>
      <w:pPr>
        <w:pStyle w:val="FirstParagraph"/>
      </w:pPr>
      <w:r>
        <w:t xml:space="preserve">Artistic polish, speaking speed, accent, handwriting, reading speed, technology expertise, eye contact, standing tolerance, and public performance are not substitutes for scientific reasoning.</w:t>
      </w:r>
    </w:p>
    <w:bookmarkEnd w:id="19"/>
    <w:bookmarkStart w:id="20" w:name="audience-feedback"/>
    <w:p>
      <w:pPr>
        <w:pStyle w:val="Heading3"/>
      </w:pPr>
      <w:r>
        <w:t xml:space="preserve">Audience Feedback</w:t>
      </w:r>
    </w:p>
    <w:p>
      <w:pPr>
        <w:pStyle w:val="FirstParagraph"/>
      </w:pPr>
      <w:r>
        <w:t xml:space="preserve">Audience members may respond by sticky note, form, drawing, audio, conversation, or anonymous message.</w:t>
      </w:r>
    </w:p>
    <w:p>
      <w:pPr>
        <w:pStyle w:val="Compact"/>
        <w:numPr>
          <w:ilvl w:val="0"/>
          <w:numId w:val="1010"/>
        </w:numPr>
      </w:pPr>
      <w:r>
        <w:t xml:space="preserve">I understand...</w:t>
      </w:r>
    </w:p>
    <w:p>
      <w:pPr>
        <w:pStyle w:val="Compact"/>
        <w:numPr>
          <w:ilvl w:val="0"/>
          <w:numId w:val="1010"/>
        </w:numPr>
      </w:pPr>
      <w:r>
        <w:t xml:space="preserve">I am still wondering...</w:t>
      </w:r>
    </w:p>
    <w:p>
      <w:pPr>
        <w:pStyle w:val="Compact"/>
        <w:numPr>
          <w:ilvl w:val="0"/>
          <w:numId w:val="1010"/>
        </w:numPr>
      </w:pPr>
      <w:r>
        <w:t xml:space="preserve">The evidence that affected my thinking was...</w:t>
      </w:r>
    </w:p>
    <w:p>
      <w:pPr>
        <w:pStyle w:val="Compact"/>
        <w:numPr>
          <w:ilvl w:val="0"/>
          <w:numId w:val="1010"/>
        </w:numPr>
      </w:pPr>
      <w:r>
        <w:t xml:space="preserve">A possible action or commitment is...</w:t>
      </w:r>
    </w:p>
    <w:p>
      <w:pPr>
        <w:pStyle w:val="Compact"/>
        <w:numPr>
          <w:ilvl w:val="0"/>
          <w:numId w:val="1010"/>
        </w:numPr>
      </w:pPr>
      <w:r>
        <w:t xml:space="preserve">A concern or unintended consequence is...</w:t>
      </w:r>
    </w:p>
    <w:bookmarkEnd w:id="20"/>
    <w:bookmarkEnd w:id="21"/>
    <w:bookmarkStart w:id="22" w:name="facilitator-debrief"/>
    <w:p>
      <w:pPr>
        <w:pStyle w:val="Heading2"/>
      </w:pPr>
      <w:r>
        <w:t xml:space="preserve">Facilitator Debrief</w:t>
      </w:r>
    </w:p>
    <w:p>
      <w:pPr>
        <w:pStyle w:val="FirstParagraph"/>
      </w:pPr>
      <w:r>
        <w:t xml:space="preserve">Piter and Aastha can use these questions after each day:</w:t>
      </w:r>
    </w:p>
    <w:p>
      <w:pPr>
        <w:pStyle w:val="Compact"/>
        <w:numPr>
          <w:ilvl w:val="0"/>
          <w:numId w:val="1011"/>
        </w:numPr>
      </w:pPr>
      <w:r>
        <w:t xml:space="preserve">Whose ideas entered the shared model or plan?</w:t>
      </w:r>
    </w:p>
    <w:p>
      <w:pPr>
        <w:pStyle w:val="Compact"/>
        <w:numPr>
          <w:ilvl w:val="0"/>
          <w:numId w:val="1011"/>
        </w:numPr>
      </w:pPr>
      <w:r>
        <w:t xml:space="preserve">Whose ideas were repeated, credited, ignored, or changed by someone else?</w:t>
      </w:r>
    </w:p>
    <w:p>
      <w:pPr>
        <w:pStyle w:val="Compact"/>
        <w:numPr>
          <w:ilvl w:val="0"/>
          <w:numId w:val="1011"/>
        </w:numPr>
      </w:pPr>
      <w:r>
        <w:t xml:space="preserve">Which task, tool, pace, role, language, or sensory condition hid thinking?</w:t>
      </w:r>
    </w:p>
    <w:p>
      <w:pPr>
        <w:pStyle w:val="Compact"/>
        <w:numPr>
          <w:ilvl w:val="0"/>
          <w:numId w:val="1011"/>
        </w:numPr>
      </w:pPr>
      <w:r>
        <w:t xml:space="preserve">Did every route lead to equivalent evidence and intellectual authority?</w:t>
      </w:r>
    </w:p>
    <w:p>
      <w:pPr>
        <w:pStyle w:val="Compact"/>
        <w:numPr>
          <w:ilvl w:val="0"/>
          <w:numId w:val="1011"/>
        </w:numPr>
      </w:pPr>
      <w:r>
        <w:t xml:space="preserve">What will we redesign tomorrow before interpreting a learner as disengaged?</w:t>
      </w:r>
    </w:p>
    <w:p>
      <w:pPr>
        <w:pStyle w:val="Compact"/>
        <w:numPr>
          <w:ilvl w:val="0"/>
          <w:numId w:val="1011"/>
        </w:numPr>
      </w:pPr>
      <w:r>
        <w:t xml:space="preserve">Where did youth experience curiosity, competence, belonging, humor, creativity, or joy?</w:t>
      </w:r>
    </w:p>
    <w:bookmarkEnd w:id="22"/>
    <w:bookmarkStart w:id="23" w:name="ai-use-disclosure"/>
    <w:p>
      <w:pPr>
        <w:pStyle w:val="Heading2"/>
      </w:pPr>
      <w:r>
        <w:t xml:space="preserve">AI Use Disclosure</w:t>
      </w:r>
    </w:p>
    <w:p>
      <w:pPr>
        <w:pStyle w:val="FirstParagraph"/>
      </w:pPr>
      <w:r>
        <w:t xml:space="preserve">I used OpenAI Codex on July 14, 2026 under my supervision to structure and format these tools for multiple access routes and to connect them to the curriculum review, Puzzle Plan claims, and Invisible Invaders evidence goals. I provided and guided the content, purpose, inclusion requirements, and final direction. I remain responsible for reviewing the prompts with Aastha and deciding what is used with campers.</w:t>
      </w:r>
    </w:p>
    <w:bookmarkEnd w:id="23"/>
    <w:bookmarkEnd w:id="24"/>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276" w:lineRule="auto"/>
    </w:pPr>
    <w:rPr>
      <w:rFonts w:ascii="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40" w:lineRule="auto"/>
      <w:outlineLvl w:val="0"/>
    </w:pPr>
    <w:rPr>
      <w:rFonts w:ascii="Arial" w:asciiTheme="majorHAnsi" w:cstheme="majorBidi" w:eastAsiaTheme="majorEastAsia" w:hAnsi="Arial" w:hAnsiTheme="majorHAnsi"/>
      <w:b/>
      <w:bCs/>
      <w:color w:val="000000"/>
      <w:sz w:val="40"/>
      <w:szCs w:val="28"/>
    </w:rPr>
  </w:style>
  <w:style w:styleId="Heading2" w:type="paragraph">
    <w:name w:val="heading 2"/>
    <w:basedOn w:val="Normal"/>
    <w:next w:val="Normal"/>
    <w:link w:val="Heading2Char"/>
    <w:uiPriority w:val="9"/>
    <w:unhideWhenUsed/>
    <w:qFormat/>
    <w:rsid w:val="00FC693F"/>
    <w:pPr>
      <w:keepNext/>
      <w:keepLines/>
      <w:spacing w:after="120" w:before="360" w:line="240" w:lineRule="auto"/>
      <w:outlineLvl w:val="1"/>
    </w:pPr>
    <w:rPr>
      <w:rFonts w:ascii="Arial" w:asciiTheme="majorHAnsi" w:cstheme="majorBidi" w:eastAsiaTheme="majorEastAsia" w:hAnsi="Arial" w:hAnsiTheme="majorHAnsi"/>
      <w:b/>
      <w:bCs/>
      <w:color w:val="000000"/>
      <w:sz w:val="32"/>
      <w:szCs w:val="26"/>
    </w:rPr>
  </w:style>
  <w:style w:styleId="Heading3" w:type="paragraph">
    <w:name w:val="heading 3"/>
    <w:basedOn w:val="Normal"/>
    <w:next w:val="Normal"/>
    <w:link w:val="Heading3Char"/>
    <w:uiPriority w:val="9"/>
    <w:unhideWhenUsed/>
    <w:qFormat/>
    <w:rsid w:val="00FC693F"/>
    <w:pPr>
      <w:keepNext/>
      <w:keepLines/>
      <w:spacing w:after="80" w:before="320" w:line="240" w:lineRule="auto"/>
      <w:outlineLvl w:val="2"/>
    </w:pPr>
    <w:rPr>
      <w:rFonts w:ascii="Arial" w:asciiTheme="majorHAnsi" w:cstheme="majorBidi" w:eastAsiaTheme="majorEastAsia" w:hAnsi="Arial" w:hAnsiTheme="majorHAnsi"/>
      <w:b/>
      <w:bCs/>
      <w:color w:val="434343"/>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before="0" w:line="276" w:lineRule="auto"/>
      <w:contextualSpacing/>
    </w:pPr>
    <w:rPr>
      <w:rFonts w:ascii="Arial" w:hAnsi="Arial"/>
      <w:color w:val="000000"/>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before="0" w:line="276" w:lineRule="auto"/>
      <w:contextualSpacing/>
    </w:pPr>
    <w:rPr>
      <w:rFonts w:ascii="Arial" w:hAnsi="Arial"/>
      <w:color w:val="000000"/>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2026-07-14T09:19:58Z</dcterms:created>
  <dcterms:modified xsi:type="dcterms:W3CDTF">2026-07-14T09:19:58Z</dcterms:modified>
</cp:coreProperties>
</file>

<file path=docProps/custom.xml><?xml version="1.0" encoding="utf-8"?>
<Properties xmlns="http://schemas.openxmlformats.org/officeDocument/2006/custom-properties" xmlns:vt="http://schemas.openxmlformats.org/officeDocument/2006/docPropsVTypes"/>
</file>