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inal-reflection-commitments-to-k-12"/>
    <w:p>
      <w:pPr>
        <w:pStyle w:val="Heading1"/>
        <w:widowControl/>
      </w:pPr>
      <w:r>
        <w:rPr>
          <w:rFonts w:ascii="Arial" w:hAnsi="Arial"/>
        </w:rPr>
        <w:t xml:space="preserve">Final Reflection: Commitments to K-12</w:t>
      </w:r>
    </w:p>
    <w:bookmarkStart w:id="18" w:name="Xcc750417900089dc5bfeeaf56fbbe5e161a1641"/>
    <w:p>
      <w:pPr>
        <w:pStyle w:val="Heading2"/>
        <w:widowControl/>
      </w:pPr>
      <w:r>
        <w:rPr>
          <w:rFonts w:ascii="Arial" w:hAnsi="Arial"/>
        </w:rPr>
        <w:t xml:space="preserve">1. I will let youth questions and community knowledge shape the storyline.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Connection to camp: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Field Friday, youth chose sampling locations by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reasoning about water, vehicles, food, visitors, and where people gather. 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Monday, they asked how microplastics reach the beach, move between systems,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can be reduced. Those questions were not detours from the science. They gave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investigation its purpose. In a formal classroom, I will protect time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students to pose, sort, and revisit questions, even when pacing guides make 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tempting to move directly to an adult-designed answer.</w:t>
      </w:r>
    </w:p>
    <w:bookmarkEnd w:id="18"/>
    <w:bookmarkStart w:id="19" w:name="X43f3153a35e6d16c5c9b7442753f0a184b3e7c4"/>
    <w:p>
      <w:pPr>
        <w:pStyle w:val="Heading2"/>
        <w:widowControl/>
      </w:pPr>
      <w:r>
        <w:rPr>
          <w:rFonts w:ascii="Arial" w:hAnsi="Arial"/>
        </w:rPr>
        <w:t xml:space="preserve">2. I will hold one rigorous purpose while offering multiple ways to participate.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Connection to camp: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Youth could speak, draw, map, write, point, demonstrate,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work with a partner, observe, pass, and return. One youth chose partner support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instead of cutting the fish. A low-energy response of "just sleepy"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accepted without being treated as lack of interest or ability. During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showcase, youth could teach through demonstration, questions, artifacts,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shared speaking. I will design these routes from the start so access does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depend on fast speech, standing, eye contact, one energy level, or public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performance.</w:t>
      </w:r>
    </w:p>
    <w:bookmarkEnd w:id="19"/>
    <w:bookmarkStart w:id="20" w:name="X721a9cf7ca1054885166de44d63eabfb741f029"/>
    <w:p>
      <w:pPr>
        <w:pStyle w:val="Heading2"/>
        <w:widowControl/>
      </w:pPr>
      <w:r>
        <w:rPr>
          <w:rFonts w:ascii="Arial" w:hAnsi="Arial"/>
        </w:rPr>
        <w:t xml:space="preserve">3. I will treat consent and sensory access as part of the science design.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Connection to camp: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the final retrospective, some youth asked to change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fish activity because of smell and texture. A mask was suggested, but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conversation did not show that a mask would make the activity acceptable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everyone. I learned that offering equipment is not the same as obtaining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consent. For body-related, animal, chemical, or sensory-intensive work, I will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preview what students may encounter and provide an equally meaningful route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same scientific idea without penalty or loss of belonging.</w:t>
      </w:r>
    </w:p>
    <w:bookmarkEnd w:id="20"/>
    <w:bookmarkStart w:id="21" w:name="Xdd88a47d0b73dcfc4e2f1bc1a7a2a14e60c7d4d"/>
    <w:p>
      <w:pPr>
        <w:pStyle w:val="Heading2"/>
        <w:widowControl/>
      </w:pPr>
      <w:r>
        <w:rPr>
          <w:rFonts w:ascii="Arial" w:hAnsi="Arial"/>
        </w:rPr>
        <w:t xml:space="preserve">4. I will protect time for hands-on investigation, movement, and revision.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Connection to camp: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Youth asked for more microscope time, more building,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less rushing, and more physical activity. Their feedback showed that 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ambitious sequence can still become inaccessible when too many activities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compete for time. I will plan fewer essential moves, visible stopping points,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real time to observe, construct, revisit, and revise. Movement will be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meaningful participation route, not a reward added after the important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learning is finished.</w:t>
      </w:r>
    </w:p>
    <w:bookmarkEnd w:id="21"/>
    <w:bookmarkStart w:id="22" w:name="Xd745991bc6f602e00b81465d141fc07b2798d53"/>
    <w:p>
      <w:pPr>
        <w:pStyle w:val="Heading2"/>
        <w:widowControl/>
      </w:pPr>
      <w:r>
        <w:rPr>
          <w:rFonts w:ascii="Arial" w:hAnsi="Arial"/>
        </w:rPr>
        <w:t xml:space="preserve">5. I will teach evidence limits as part of scientific competence.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Connection to camp: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Predictions changed after counting and magnification.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group corrected a doubled measuring-wheel route. Fifty-one or more visible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litter observations were not fifty-one chemically confirmed plastic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particles. Microscope images and filtration models made phenomena visible, but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they did not prove a human exposure route or health effect. I will make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difference among observation, estimate, model, inference, and confirmation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explicit, and I will treat correcting a measurement or revising a claim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successful science rather than failure.</w:t>
      </w:r>
    </w:p>
    <w:bookmarkEnd w:id="22"/>
    <w:bookmarkStart w:id="23" w:name="X228712ad12431fa37980bb2c3db439d42713887"/>
    <w:p>
      <w:pPr>
        <w:pStyle w:val="Heading2"/>
        <w:widowControl/>
      </w:pPr>
      <w:r>
        <w:rPr>
          <w:rFonts w:ascii="Arial" w:hAnsi="Arial"/>
        </w:rPr>
        <w:t xml:space="preserve">6. I will connect environmental action to systems, power, and shared responsibility.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Connection to camp: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the policy role-play, youth and adults considered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stormwater capture, producer responsibility, education, recycling, and cleanup.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One argument rejected blaming only a person labeled a "litterbug" and asked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producers and public systems to carry responsibility too. Youth then made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wearable messages and proposed trash-can locations for a real audience. I will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help students move from individual blame toward evidence-based questions about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infrastructure, policy, production, unequal burdens, and the people who can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change those systems.</w:t>
      </w:r>
    </w:p>
    <w:bookmarkEnd w:id="23"/>
    <w:bookmarkStart w:id="24" w:name="X13dbc259dd5340fb67c0eb6ff226805b7ff0605"/>
    <w:p>
      <w:pPr>
        <w:pStyle w:val="Heading2"/>
        <w:widowControl/>
      </w:pPr>
      <w:r>
        <w:rPr>
          <w:rFonts w:ascii="Arial" w:hAnsi="Arial"/>
        </w:rPr>
        <w:t xml:space="preserve">7. I will close the learning cycle by returning design decisions to youth.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Connection to camp: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Youth taught visitors during the showcase, then used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speech, writing, pluses, and arrows to critique the camp. They proposed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numbered showcase route, additional microscope and building time, more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movement, and less rushing. I will not treat a final product as the end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learning or use a leading question as proof of empowerment. I will ask open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questions, allow private or delayed responses, document what students want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keep or change, and use that evidence in the next design.</w:t>
      </w:r>
    </w:p>
    <w:bookmarkEnd w:id="24"/>
    <w:bookmarkStart w:id="25" w:name="ai-use-disclosure"/>
    <w:p>
      <w:pPr>
        <w:pStyle w:val="Heading2"/>
        <w:widowControl/>
      </w:pPr>
      <w:r>
        <w:rPr>
          <w:rFonts w:ascii="Arial" w:hAnsi="Arial"/>
        </w:rPr>
        <w:t xml:space="preserve">AI Use Disclosure</w:t>
      </w:r>
    </w:p>
    <w:p>
      <w:pPr>
        <w:pStyle w:val="FirstParagraph"/>
        <w:widowControl/>
      </w:pPr>
      <w:r>
        <w:rPr>
          <w:rFonts w:ascii="Arial" w:hAnsi="Arial"/>
        </w:rPr>
        <w:t xml:space="preserve">I used OpenAI Codex on August 5, 2026, under my direction, to organize and edit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my transcript-grounded commitments for clarity and accessibility. I selected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evidence, guided the claims and boundaries, reviewed the final response,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remain responsible for its content.</w:t>
      </w:r>
    </w:p>
    <w:bookmarkEnd w:id="25"/>
    <w:bookmarkEnd w:id="26"/>
    <w:sectPr>
      <w:footerReference r:id="rId9" w:type="default"/>
      <w:footnotePr>
        <w:numRestart w:val="eachSect"/>
      </w:footnotePr>
      <w:pgSz w:h="15840" w:w="12240"/>
      <w:pgMar w:bottom="1296" w:footer="360" w:left="1037" w:right="1037" w:top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59" w:lineRule="auto"/>
    </w:pPr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100" w:before="36" w:line="259" w:lineRule="auto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00" w:before="2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23047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00"/>
      <w:outlineLvl w:val="0"/>
    </w:pPr>
    <w:rPr>
      <w:rFonts w:ascii="Arial" w:asciiTheme="majorHAnsi" w:cstheme="majorBidi" w:eastAsiaTheme="majorEastAsia" w:hAnsi="Arial" w:hAnsiTheme="majorHAnsi"/>
      <w:b/>
      <w:color w:val="123047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00"/>
      <w:outlineLvl w:val="1"/>
    </w:pPr>
    <w:rPr>
      <w:rFonts w:ascii="Arial" w:asciiTheme="majorHAnsi" w:cstheme="majorBidi" w:eastAsiaTheme="majorEastAsia" w:hAnsi="Arial" w:hAnsiTheme="majorHAnsi"/>
      <w:b/>
      <w:color w:val="087F8C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</w:pPr>
    <w:rPr>
      <w:rFonts w:ascii="Arial" w:cstheme="majorBidi" w:eastAsiaTheme="majorEastAsia" w:hAnsi="Arial"/>
      <w:b/>
      <w:color w:val="66338C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Reflection: Commitments to K-12</dc:title>
  <dc:creator>Piter Z. Garcia Bautista</dc:creator>
  <cp:keywords>EDU486, justice-centered STEM, accessibility</cp:keywords>
  <dcterms:created xsi:type="dcterms:W3CDTF">2026-08-05T13:17:32Z</dcterms:created>
  <dcterms:modified xsi:type="dcterms:W3CDTF">2026-08-05T13:17:32Z</dcterms:modified>
  <dc:subject>EDU486 course closeout submission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