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5372faf3a242f824c348ffd55f08bed5773931d"/>
    <w:p>
      <w:pPr>
        <w:pStyle w:val="Heading1"/>
        <w:widowControl/>
      </w:pPr>
      <w:r>
        <w:rPr>
          <w:rFonts w:ascii="Arial" w:hAnsi="Arial"/>
        </w:rPr>
        <w:t xml:space="preserve">Visualizing Our Grounding Frameworks - Part 2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Student: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Piter Z. Garcia Bautista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 xml:space="preserve">Course: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EDU486 - Integrating Technology in STEM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 xml:space="preserve">Due: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August 8, 2026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 xml:space="preserve">Title: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JuST + Technology in Practice: Access to Evidence to Agency to Redesign</w:t>
      </w:r>
    </w:p>
    <w:bookmarkStart w:id="21" w:name="revised-visualization"/>
    <w:p>
      <w:pPr>
        <w:pStyle w:val="Heading2"/>
        <w:widowControl/>
      </w:pPr>
      <w:r>
        <w:rPr>
          <w:rFonts w:ascii="Arial" w:hAnsi="Arial"/>
        </w:rPr>
        <w:t xml:space="preserve">Revised Visualization</w:t>
      </w:r>
    </w:p>
    <w:p>
      <w:pPr>
        <w:pStyle w:val="FirstParagraph"/>
        <w:widowControl/>
      </w:pPr>
      <w:r>
        <w:rPr>
          <w:rFonts w:ascii="Arial" w:hAnsi="Arial"/>
        </w:rPr>
        <w:drawing>
          <wp:inline>
            <wp:extent cx="8412480" cy="5783580"/>
            <wp:effectExtent b="0" l="0" r="0" t="0"/>
            <wp:docPr descr="A justice-centered community anchors a Plan-Elicit-Revise-Act cycle. Youth feedback returns to planning. A facilitator redesign loop keeps direct observation, youth statements, facilitator interpretation, and uncertainty distinct. Technology can support, complicate, or constrain." title="Grounding Frameworks Part 2 visual" id="19" name="Picture"/>
            <a:graphic>
              <a:graphicData uri="http://schemas.openxmlformats.org/drawingml/2006/picture">
                <pic:pic>
                  <pic:nvPicPr>
                    <pic:cNvPr descr="/Users/pitergarcia/DataScience/Semester4(UofR)/EDU486/public-artifacts/grounding-frameworks-part2-visual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2480" cy="5783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Short alt text: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justice-centered community anchors a Plan-Elicit-Revise-Act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cycle. Youth feedback returns to planning, a facilitator redesign loop keeps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four evidence types distinct, and three technology lenses show support,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complication, and constraint.</w:t>
      </w:r>
    </w:p>
    <w:bookmarkEnd w:id="21"/>
    <w:bookmarkStart w:id="22" w:name="central-claim"/>
    <w:p>
      <w:pPr>
        <w:pStyle w:val="Heading2"/>
        <w:widowControl/>
      </w:pPr>
      <w:r>
        <w:rPr>
          <w:rFonts w:ascii="Arial" w:hAnsi="Arial"/>
        </w:rPr>
        <w:t xml:space="preserve">Central Claim</w:t>
      </w:r>
    </w:p>
    <w:p>
      <w:pPr>
        <w:pStyle w:val="FirstParagraph"/>
        <w:widowControl/>
      </w:pPr>
      <w:r>
        <w:rPr>
          <w:rFonts w:ascii="Arial" w:hAnsi="Arial"/>
        </w:rPr>
        <w:t xml:space="preserve">Technology becomes justice-centered when it expands who can contribute, keeps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evidence open to revision, and gives youth power to shape both public action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future learning conditions.</w:t>
      </w:r>
    </w:p>
    <w:bookmarkEnd w:id="22"/>
    <w:bookmarkStart w:id="23" w:name="what-changed-from-part-1"/>
    <w:p>
      <w:pPr>
        <w:pStyle w:val="Heading2"/>
        <w:widowControl/>
      </w:pPr>
      <w:r>
        <w:rPr>
          <w:rFonts w:ascii="Arial" w:hAnsi="Arial"/>
        </w:rPr>
        <w:t xml:space="preserve">What Changed From Part 1</w:t>
      </w:r>
    </w:p>
    <w:p>
      <w:pPr>
        <w:pStyle w:val="FirstParagraph"/>
        <w:widowControl/>
      </w:pPr>
      <w:r>
        <w:rPr>
          <w:rFonts w:ascii="Arial" w:hAnsi="Arial"/>
        </w:rPr>
        <w:t xml:space="preserve">In Part 1, I argued that technology is never a neutral add-on and that access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must be designed before selecting a tool. Camp reinforced that claim, but it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changed what I mean by agency. I had mainly described multiple participation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routes as ways for youth to reach a shared, adult-designed goal. During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Invisible Invaders, youth words and actions became evidence that should also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change the route. Youth could name low energy without being treated 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incapable, choose a different role in a sensory activity, and recommend more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microscope time, construction, movement, less rushing, and a numbered showcase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sequence. I now understand access as incomplete unless youth can influence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future learning conditions.</w:t>
      </w:r>
    </w:p>
    <w:p>
      <w:pPr>
        <w:pStyle w:val="BodyText"/>
        <w:widowControl/>
      </w:pPr>
      <w:r>
        <w:rPr>
          <w:rFonts w:ascii="Arial" w:hAnsi="Arial"/>
        </w:rPr>
        <w:t xml:space="preserve">The revised visual therefore adds a return arrow from action to planning and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facilitator redesign loop. Direct observation, youth statements, facilitator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interpretation, and unresolved uncertainty remain parallel evidence types.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This prevents a photograph, silence, posture, an adult prompt, or a polished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artifact from being treated as proof of what a learner understood or felt.</w:t>
      </w:r>
    </w:p>
    <w:bookmarkEnd w:id="23"/>
    <w:bookmarkStart w:id="24" w:name="technology-in-practice"/>
    <w:p>
      <w:pPr>
        <w:pStyle w:val="Heading2"/>
        <w:widowControl/>
      </w:pPr>
      <w:r>
        <w:rPr>
          <w:rFonts w:ascii="Arial" w:hAnsi="Arial"/>
        </w:rPr>
        <w:t xml:space="preserve">Technology In Practice</w:t>
      </w:r>
    </w:p>
    <w:p>
      <w:pPr>
        <w:pStyle w:val="FirstParagraph"/>
        <w:widowControl/>
      </w:pPr>
      <w:r>
        <w:rPr>
          <w:rFonts w:ascii="Arial" w:hAnsi="Arial"/>
        </w:rPr>
        <w:t xml:space="preserve">Technology helped when it made continuity and evidence more shareable.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Magnification, measuring wheels, shared models, visual recaps, photographs,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transcripts helped participants notice, compare, explain, and return after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pause. Each tool also required an evidence boundary. Magnified residue was 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chemical identification. A distance value required interpretation of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route. A model did not prove a health effect. Photographs did not reveal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private understanding, and the absence of a Day 5 video limits what I can claim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about that session.</w:t>
      </w:r>
    </w:p>
    <w:p>
      <w:pPr>
        <w:pStyle w:val="BodyText"/>
        <w:widowControl/>
      </w:pPr>
      <w:r>
        <w:rPr>
          <w:rFonts w:ascii="Arial" w:hAnsi="Arial"/>
        </w:rPr>
        <w:t xml:space="preserve">The JuST cycle became concrete through practice. Youth formed place-based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hypotheses, contributed through maps, tools, movement, speech, observation,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art, and partnership, revised models and measurements, debated responsibility,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taught families. The policy work moved beyond individual littering toward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infrastructure, producer responsibility, education, and capture systems.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Aastha and I pursued one rigorous shared question while adjusting the routes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through which youth could participate.</w:t>
      </w:r>
    </w:p>
    <w:bookmarkEnd w:id="24"/>
    <w:bookmarkStart w:id="25" w:name="practical-commitments"/>
    <w:p>
      <w:pPr>
        <w:pStyle w:val="Heading2"/>
        <w:widowControl/>
      </w:pPr>
      <w:r>
        <w:rPr>
          <w:rFonts w:ascii="Arial" w:hAnsi="Arial"/>
        </w:rPr>
        <w:t xml:space="preserve">Practical Commitments</w:t>
      </w:r>
    </w:p>
    <w:p>
      <w:pPr>
        <w:pStyle w:val="FirstParagraph"/>
        <w:widowControl/>
      </w:pPr>
      <w:r>
        <w:rPr>
          <w:rFonts w:ascii="Arial" w:hAnsi="Arial"/>
        </w:rPr>
        <w:t xml:space="preserve">Going forward, I will: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</w:rPr>
        <w:t xml:space="preserve">protect multiple participation routes while keeping a common rigorous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scientific purpose;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</w:rPr>
        <w:t xml:space="preserve">preview sensory demands and offer an equal non-fish route rather than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treating equipment as consent;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</w:rPr>
        <w:t xml:space="preserve">plan fewer essential activities so youth have more time to build, use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microscopes, move, and revise;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</w:rPr>
        <w:t xml:space="preserve">teach the distinctions among observation, estimate, measurement, model,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inference, and confirmation;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</w:rPr>
        <w:t xml:space="preserve">connect environmental action to infrastructure, policy, production,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unequal burdens rather than only individual behavior; and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</w:rPr>
        <w:t xml:space="preserve">end with open, multimodal feedback that can change the next plan.</w:t>
      </w:r>
    </w:p>
    <w:p>
      <w:pPr>
        <w:pStyle w:val="FirstParagraph"/>
        <w:widowControl/>
      </w:pPr>
      <w:r>
        <w:rPr>
          <w:rFonts w:ascii="Arial" w:hAnsi="Arial"/>
        </w:rPr>
        <w:t xml:space="preserve">Justice-centered STEM learning with technology is not a polished product. It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a revisable relationship among community, evidence, power, and action.</w:t>
      </w:r>
    </w:p>
    <w:bookmarkEnd w:id="25"/>
    <w:bookmarkStart w:id="26" w:name="evidence-ledger"/>
    <w:p>
      <w:pPr>
        <w:pStyle w:val="Heading2"/>
        <w:widowControl/>
      </w:pPr>
      <w:r>
        <w:rPr>
          <w:rFonts w:ascii="Arial" w:hAnsi="Arial"/>
        </w:rPr>
        <w:t xml:space="preserve">Evidence Ledger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DDEBF1"/>
          </w:tcPr>
          <w:p>
            <w:pPr>
              <w:pStyle w:val="Compact"/>
              <w:spacing w:after="40"/>
            </w:pPr>
            <w:r>
              <w:rPr>
                <w:b/>
                <w:color w:val="123047"/>
                <w:sz w:val="18"/>
              </w:rPr>
              <w:t xml:space="preserve">Camp evidence</w:t>
            </w:r>
          </w:p>
        </w:tc>
        <w:tc>
          <w:tcPr>
            <w:shd w:fill="DDEBF1"/>
          </w:tcPr>
          <w:p>
            <w:pPr>
              <w:pStyle w:val="Compact"/>
              <w:spacing w:after="40"/>
            </w:pPr>
            <w:r>
              <w:rPr>
                <w:b/>
                <w:color w:val="123047"/>
                <w:sz w:val="18"/>
              </w:rPr>
              <w:t xml:space="preserve">What it changed in the visual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A youth predicted more plastic near the water, then reported not seeing what was expected.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A hypothesis is revisable; prediction is not a result.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Initial estimates, visual counts, and magnified observations differed.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Technology changes what can be noticed, but visibility is not confirmation.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A youth chose partner support instead of cutting during the fish activity.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Participation choice and consent belong inside the community core.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The measuring-wheel route doubled back before the distance was corrected.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Numerical evidence requires method context and revision.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Policy reasoning combined infrastructure, producer responsibility, and education.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Action should address systems and shared responsibility, not only individual blame.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Youth taught visitors, then requested more microscope time, making, movement, less rushing, sensory alternatives, and numbered stations.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Youth feedback must return to planning and change future conditions.</w:t>
            </w:r>
          </w:p>
        </w:tc>
      </w:tr>
    </w:tbl>
    <w:bookmarkEnd w:id="26"/>
    <w:bookmarkStart w:id="27" w:name="evidence-and-privacy-boundaries"/>
    <w:p>
      <w:pPr>
        <w:pStyle w:val="Heading2"/>
        <w:widowControl/>
      </w:pPr>
      <w:r>
        <w:rPr>
          <w:rFonts w:ascii="Arial" w:hAnsi="Arial"/>
        </w:rPr>
        <w:t xml:space="preserve">Evidence And Privacy Boundaries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Arial" w:hAnsi="Arial"/>
        </w:rPr>
        <w:t xml:space="preserve">Anonymous speaker labels are activity-specific and do not identify a child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across days.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Arial" w:hAnsi="Arial"/>
        </w:rPr>
        <w:t xml:space="preserve">Photographs show visible participation and artifacts, not private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understanding, emotion, motivation, disability, or identity.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Arial" w:hAnsi="Arial"/>
        </w:rPr>
        <w:t xml:space="preserve">Visible litter, retained sand particles, and tire residue were not always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chemically confirmed as plastic.</w:t>
      </w:r>
    </w:p>
    <w:p>
      <w:pPr>
        <w:pStyle w:val="Compact"/>
        <w:widowControl/>
        <w:numPr>
          <w:ilvl w:val="0"/>
          <w:numId w:val="1002"/>
        </w:numPr>
      </w:pPr>
      <w:r>
        <w:rPr>
          <w:rStyle w:val="VerbatimChar"/>
          <w:rFonts w:ascii="Arial" w:hAnsi="Arial"/>
        </w:rPr>
        <w:t xml:space="preserve">51+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refers to visible litter observations along approximately 406 meters,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not confirmed plastic particles or a complete pollution survey.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Arial" w:hAnsi="Arial"/>
        </w:rPr>
        <w:t xml:space="preserve">Models supported explanation and revision; they did not prove a human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exposure route or health effect.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Arial" w:hAnsi="Arial"/>
        </w:rPr>
        <w:t xml:space="preserve">Day 5 has 10 photographs and a same-session transcript, but no source video.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Arial" w:hAnsi="Arial"/>
        </w:rPr>
        <w:t xml:space="preserve">Adult prompts shaped the retrospective; silence is not agreement, and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prompted empowerment question is not independent evidence of empowerment.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Arial" w:hAnsi="Arial"/>
        </w:rPr>
        <w:t xml:space="preserve">AI-assisted visuals clarify communication but do not replace original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photographs, recordings, artifacts, or transcripts.</w:t>
      </w:r>
    </w:p>
    <w:bookmarkEnd w:id="27"/>
    <w:bookmarkStart w:id="37" w:name="direct-sources"/>
    <w:p>
      <w:pPr>
        <w:pStyle w:val="Heading2"/>
        <w:widowControl/>
      </w:pPr>
      <w:r>
        <w:rPr>
          <w:rFonts w:ascii="Arial" w:hAnsi="Arial"/>
        </w:rPr>
        <w:t xml:space="preserve">Direct Sources</w:t>
      </w:r>
    </w:p>
    <w:p>
      <w:pPr>
        <w:pStyle w:val="Compact"/>
        <w:widowControl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Luehmann et al.,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Toward a Justice-Centered Ambitious Teaching Framework</w:t>
        </w:r>
      </w:hyperlink>
    </w:p>
    <w:p>
      <w:pPr>
        <w:pStyle w:val="Compact"/>
        <w:widowControl/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Ambitious Science Teaching interview about the JuST Framework</w:t>
        </w:r>
      </w:hyperlink>
    </w:p>
    <w:p>
      <w:pPr>
        <w:pStyle w:val="Compact"/>
        <w:widowControl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CAST Universal Design for Learning Guidelines 3.0</w:t>
        </w:r>
      </w:hyperlink>
    </w:p>
    <w:p>
      <w:pPr>
        <w:pStyle w:val="Compact"/>
        <w:widowControl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Day 1 - Field Investigation</w:t>
        </w:r>
      </w:hyperlink>
    </w:p>
    <w:p>
      <w:pPr>
        <w:pStyle w:val="Compact"/>
        <w:widowControl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Day 2 - Air, Neighborhood, Fish, and Model</w:t>
        </w:r>
      </w:hyperlink>
    </w:p>
    <w:p>
      <w:pPr>
        <w:pStyle w:val="Compact"/>
        <w:widowControl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Day 3 - Separation, Measurement, Friction, Scientist, and Identity</w:t>
        </w:r>
      </w:hyperlink>
    </w:p>
    <w:p>
      <w:pPr>
        <w:pStyle w:val="Compact"/>
        <w:widowControl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Day 4 - Model, Policy, and Advocacy</w:t>
        </w:r>
      </w:hyperlink>
    </w:p>
    <w:p>
      <w:pPr>
        <w:pStyle w:val="Compact"/>
        <w:widowControl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Day 5 - Youth-Led Showcase</w:t>
        </w:r>
      </w:hyperlink>
    </w:p>
    <w:p>
      <w:pPr>
        <w:pStyle w:val="Compact"/>
        <w:widowControl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Day 6 - Youth Retrospective and Future Design</w:t>
        </w:r>
      </w:hyperlink>
    </w:p>
    <w:bookmarkEnd w:id="37"/>
    <w:bookmarkStart w:id="38" w:name="ai-use-disclosure"/>
    <w:p>
      <w:pPr>
        <w:pStyle w:val="Heading2"/>
        <w:widowControl/>
      </w:pPr>
      <w:r>
        <w:rPr>
          <w:rFonts w:ascii="Arial" w:hAnsi="Arial"/>
        </w:rPr>
        <w:t xml:space="preserve">AI Use Disclosure</w:t>
      </w:r>
    </w:p>
    <w:p>
      <w:pPr>
        <w:pStyle w:val="FirstParagraph"/>
        <w:widowControl/>
      </w:pPr>
      <w:r>
        <w:rPr>
          <w:rFonts w:ascii="Arial" w:hAnsi="Arial"/>
        </w:rPr>
        <w:t xml:space="preserve">I used OpenAI Codex under my supervision in August 2026 to synthesize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assignment requirements, my Part 1 artifact, deidentified camp transcripts,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evidence documentation, and poster findings; organize the revised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visualization; draft accessible companion text; and check claims against their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sources. AI also supported clarification, labeling, and accessibility in some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camp recap visuals, but those visuals remain communication artifacts rather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than replacements for original evidence. AI did not identify youth, infer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diagnoses or internal states, or replace the contributions of Aastha,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youth, or the camp community. I reviewed the evidence and remain responsible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the privacy, science, interpretation, wording, and final submission.</w:t>
      </w:r>
    </w:p>
    <w:bookmarkEnd w:id="38"/>
    <w:bookmarkEnd w:id="39"/>
    <w:sectPr>
      <w:footerReference r:id="rId9" w:type="default"/>
      <w:footnotePr>
        <w:numRestart w:val="eachSect"/>
      </w:footnotePr>
      <w:pgSz w:h="12240" w:orient="landscape" w:w="15840"/>
      <w:pgMar w:bottom="979" w:footer="360" w:left="792" w:right="792" w:top="7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59" w:lineRule="auto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59" w:lineRule="auto"/>
    </w:pPr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100" w:before="36" w:line="259" w:lineRule="auto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00" w:before="2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23047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200"/>
      <w:outlineLvl w:val="0"/>
    </w:pPr>
    <w:rPr>
      <w:rFonts w:ascii="Arial" w:asciiTheme="majorHAnsi" w:cstheme="majorBidi" w:eastAsiaTheme="majorEastAsia" w:hAnsi="Arial" w:hAnsiTheme="majorHAnsi"/>
      <w:b/>
      <w:color w:val="123047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00"/>
      <w:outlineLvl w:val="1"/>
    </w:pPr>
    <w:rPr>
      <w:rFonts w:ascii="Arial" w:asciiTheme="majorHAnsi" w:cstheme="majorBidi" w:eastAsiaTheme="majorEastAsia" w:hAnsi="Arial" w:hAnsiTheme="majorHAnsi"/>
      <w:b/>
      <w:color w:val="087F8C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</w:pPr>
    <w:rPr>
      <w:rFonts w:ascii="Arial" w:cstheme="majorBidi" w:eastAsiaTheme="majorEastAsia" w:hAnsi="Arial"/>
      <w:b/>
      <w:color w:val="66338C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18" Type="http://schemas.openxmlformats.org/officeDocument/2006/relationships/image" Target="media/rId18.png"/><Relationship Id="rId31" Type="http://schemas.openxmlformats.org/officeDocument/2006/relationships/hyperlink" Target="../../transcripts/camp-clean/2026-07-24-day1-field-investigation.md" TargetMode="External"/><Relationship Id="rId32" Type="http://schemas.openxmlformats.org/officeDocument/2006/relationships/hyperlink" Target="../../transcripts/camp-clean/2026-07-27-day2-air-neighborhood-fish-model.md" TargetMode="External"/><Relationship Id="rId33" Type="http://schemas.openxmlformats.org/officeDocument/2006/relationships/hyperlink" Target="../../transcripts/camp-clean/2026-07-28-day3-separation-measurement-friction-scientist-identity.md" TargetMode="External"/><Relationship Id="rId34" Type="http://schemas.openxmlformats.org/officeDocument/2006/relationships/hyperlink" Target="../../transcripts/camp-clean/2026-07-29-day4-model-policy-advocacy.md" TargetMode="External"/><Relationship Id="rId35" Type="http://schemas.openxmlformats.org/officeDocument/2006/relationships/hyperlink" Target="../../transcripts/camp-clean/2026-07-30-day5-youth-led-showcase.md" TargetMode="External"/><Relationship Id="rId36" Type="http://schemas.openxmlformats.org/officeDocument/2006/relationships/hyperlink" Target="../../transcripts/camp-clean/2026-07-31-day6-youth-retrospective.md" TargetMode="External"/><Relationship Id="rId29" Type="http://schemas.openxmlformats.org/officeDocument/2006/relationships/hyperlink" Target="https://ambitiousscienceteaching.org/the-just-framework-an-interview-with-dr-april-luehmann/" TargetMode="External"/><Relationship Id="rId28" Type="http://schemas.openxmlformats.org/officeDocument/2006/relationships/hyperlink" Target="https://doi.org/10.1002/tea.21917" TargetMode="External"/><Relationship Id="rId30" Type="http://schemas.openxmlformats.org/officeDocument/2006/relationships/hyperlink" Target="https://udlguidelines.cast.org/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../../transcripts/camp-clean/2026-07-24-day1-field-investigation.md" TargetMode="External"/><Relationship Id="rId32" Type="http://schemas.openxmlformats.org/officeDocument/2006/relationships/hyperlink" Target="../../transcripts/camp-clean/2026-07-27-day2-air-neighborhood-fish-model.md" TargetMode="External"/><Relationship Id="rId33" Type="http://schemas.openxmlformats.org/officeDocument/2006/relationships/hyperlink" Target="../../transcripts/camp-clean/2026-07-28-day3-separation-measurement-friction-scientist-identity.md" TargetMode="External"/><Relationship Id="rId34" Type="http://schemas.openxmlformats.org/officeDocument/2006/relationships/hyperlink" Target="../../transcripts/camp-clean/2026-07-29-day4-model-policy-advocacy.md" TargetMode="External"/><Relationship Id="rId35" Type="http://schemas.openxmlformats.org/officeDocument/2006/relationships/hyperlink" Target="../../transcripts/camp-clean/2026-07-30-day5-youth-led-showcase.md" TargetMode="External"/><Relationship Id="rId36" Type="http://schemas.openxmlformats.org/officeDocument/2006/relationships/hyperlink" Target="../../transcripts/camp-clean/2026-07-31-day6-youth-retrospective.md" TargetMode="External"/><Relationship Id="rId29" Type="http://schemas.openxmlformats.org/officeDocument/2006/relationships/hyperlink" Target="https://ambitiousscienceteaching.org/the-just-framework-an-interview-with-dr-april-luehmann/" TargetMode="External"/><Relationship Id="rId28" Type="http://schemas.openxmlformats.org/officeDocument/2006/relationships/hyperlink" Target="https://doi.org/10.1002/tea.21917" TargetMode="External"/><Relationship Id="rId30" Type="http://schemas.openxmlformats.org/officeDocument/2006/relationships/hyperlink" Target="https://udlguidelines.cas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Visualizing Our Grounding Frameworks - Part 2</dc:title>
  <dc:creator>Piter Z. Garcia Bautista</dc:creator>
  <cp:keywords>EDU486, justice-centered STEM, accessibility</cp:keywords>
  <dcterms:created xsi:type="dcterms:W3CDTF">2026-08-05T13:17:31Z</dcterms:created>
  <dcterms:modified xsi:type="dcterms:W3CDTF">2026-08-05T13:17:31Z</dcterms:modified>
  <dc:subject>EDU486 course closeout submission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