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75359cf9d709f5d95ccfd65c6251764a941939c"/>
    <w:p>
      <w:pPr>
        <w:pStyle w:val="Heading1"/>
        <w:widowControl/>
      </w:pPr>
      <w:r>
        <w:rPr>
          <w:rFonts w:ascii="Arial" w:hAnsi="Arial"/>
        </w:rPr>
        <w:t xml:space="preserve">Invisible Invaders: Post-Camp Implementation Revision Addendum</w:t>
      </w:r>
    </w:p>
    <w:p>
      <w:pPr>
        <w:pStyle w:val="FirstParagraph"/>
        <w:widowControl/>
      </w:pPr>
      <w:r>
        <w:rPr>
          <w:rFonts w:ascii="Arial" w:hAnsi="Arial"/>
          <w:b/>
          <w:bCs/>
        </w:rPr>
        <w:t xml:space="preserve">Team: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Piter Garcia and Aastha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 xml:space="preserve">Implementation: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July 24-31, 2026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 xml:space="preserve">Artifact status: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Complete public-safe implementation revision</w:t>
      </w:r>
      <w:r>
        <w:rPr>
          <w:rFonts w:ascii="Arial" w:hAnsi="Arial"/>
        </w:rPr>
        <w:br/>
      </w:r>
      <w:r>
        <w:rPr>
          <w:rFonts w:ascii="Arial" w:hAnsi="Arial"/>
          <w:b/>
          <w:bCs/>
        </w:rPr>
        <w:t xml:space="preserve">Blackboard status: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Submission not verified as of August 5, 2026</w:t>
      </w:r>
    </w:p>
    <w:bookmarkStart w:id="18" w:name="purpose"/>
    <w:p>
      <w:pPr>
        <w:pStyle w:val="Heading2"/>
        <w:widowControl/>
      </w:pPr>
      <w:r>
        <w:rPr>
          <w:rFonts w:ascii="Arial" w:hAnsi="Arial"/>
        </w:rPr>
        <w:t xml:space="preserve">Purpose</w:t>
      </w:r>
    </w:p>
    <w:p>
      <w:pPr>
        <w:pStyle w:val="FirstParagraph"/>
        <w:widowControl/>
      </w:pPr>
      <w:r>
        <w:rPr>
          <w:rFonts w:ascii="Arial" w:hAnsi="Arial"/>
        </w:rPr>
        <w:t xml:space="preserve">This addendum records what Piter and Aastha implemented, what the clean camp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record supports keeping, and what should change before another Invisible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Invaders camp. It revises the plan from evidence rather than treating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original schedule as the final account of practice.</w:t>
      </w:r>
    </w:p>
    <w:bookmarkEnd w:id="18"/>
    <w:bookmarkStart w:id="19" w:name="actual-day-1-6-sequence"/>
    <w:p>
      <w:pPr>
        <w:pStyle w:val="Heading2"/>
        <w:widowControl/>
      </w:pPr>
      <w:r>
        <w:rPr>
          <w:rFonts w:ascii="Arial" w:hAnsi="Arial"/>
        </w:rPr>
        <w:t xml:space="preserve">Actual Day 1-6 Sequence</w:t>
      </w:r>
    </w:p>
    <w:tbl>
      <w:tblPr>
        <w:tblStyle w:val="Table"/>
        <w:tblW w:type="auto" w:w="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fill="DDEBF1"/>
          </w:tcPr>
          <w:p>
            <w:pPr>
              <w:pStyle w:val="Compact"/>
              <w:spacing w:after="40"/>
            </w:pPr>
            <w:r>
              <w:rPr>
                <w:b/>
                <w:color w:val="123047"/>
                <w:sz w:val="18"/>
              </w:rPr>
              <w:t xml:space="preserve">Day</w:t>
            </w:r>
          </w:p>
        </w:tc>
        <w:tc>
          <w:tcPr>
            <w:shd w:fill="DDEBF1"/>
          </w:tcPr>
          <w:p>
            <w:pPr>
              <w:pStyle w:val="Compact"/>
              <w:spacing w:after="40"/>
            </w:pPr>
            <w:r>
              <w:rPr>
                <w:b/>
                <w:color w:val="123047"/>
                <w:sz w:val="18"/>
              </w:rPr>
              <w:t xml:space="preserve">Sequence documented in the clean record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8"/>
              </w:rPr>
              <w:t xml:space="preserve">1 - Field investigation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Youth formed location hypotheses; predicted, counted, magnified, and compared prepared evidence-jar contents; collected and labeled beach samples; and returned to the investigation mission. The usable recording begins at 11:32 a.m., so it does not document the full morning.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8"/>
              </w:rPr>
              <w:t xml:space="preserve">2 - Transport, place, and fish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Youth modeled moving-air transport; connected sources, air, water, animals, people, and action; used a movement-and-relationship reset; mapped neighborhood pathways; chose roles in an ethical fish-tissue activity; and explained the revised model.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8"/>
              </w:rPr>
              <w:t xml:space="preserve">3 - Separation, measurement, and friction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Youth sieved Day 1 sand and began saltwater density separation; recorded 51 or more visible litter observations over approximately 1,331 feet, or 406 meters; revised a doubled-back route interpretation; investigated bicycle friction and tire-wear residue with magnification; used a synthetic-tissue filtration model; and recognized multiple ways of doing science through Identi-Beads.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8"/>
              </w:rPr>
              <w:t xml:space="preserve">4 - Evidence to action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Youth could name or pass on a mood; revised the shared model; argued from mayor and stakeholder roles; considered infrastructure, producer responsibility, education, and cleanup; chose whether and how to vote; and created wearable advocacy messages.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8"/>
              </w:rPr>
              <w:t xml:space="preserve">5 - Youth-led showcase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Youth rehearsed systematic sand sampling, labeling, and stacked sieving; taught through demonstration, pointing, speaking, questioning, evidence-holding, or partnership; connected the weeklong investigation; explained measurement and model evidence; proposed community action; and received recognition for doing science.</w:t>
            </w:r>
          </w:p>
        </w:tc>
      </w:tr>
      <w:tr>
        <w:tc>
          <w:tcPr/>
          <w:p>
            <w:pPr>
              <w:pStyle w:val="Compact"/>
              <w:spacing w:after="40"/>
            </w:pPr>
            <w:r>
              <w:rPr>
                <w:b/>
                <w:bCs/>
                <w:sz w:val="18"/>
              </w:rPr>
              <w:t xml:space="preserve">6 - Retrospective and future design</w:t>
            </w:r>
          </w:p>
        </w:tc>
        <w:tc>
          <w:tcPr/>
          <w:p>
            <w:pPr>
              <w:pStyle w:val="Compact"/>
              <w:spacing w:after="40"/>
            </w:pPr>
            <w:r>
              <w:rPr>
                <w:sz w:val="18"/>
              </w:rPr>
              <w:t xml:space="preserve">Youth used spoken, written, and plus-and-arrow feedback routes. They requested more microscope time, more construction, less rushing, more physical activity, a sensory-safe non-fish route, and numbered showcase stations.</w:t>
            </w:r>
          </w:p>
        </w:tc>
      </w:tr>
    </w:tbl>
    <w:bookmarkEnd w:id="19"/>
    <w:bookmarkStart w:id="20" w:name="what-worked-and-should-continue"/>
    <w:p>
      <w:pPr>
        <w:pStyle w:val="Heading2"/>
        <w:widowControl/>
      </w:pPr>
      <w:r>
        <w:rPr>
          <w:rFonts w:ascii="Arial" w:hAnsi="Arial"/>
        </w:rPr>
        <w:t xml:space="preserve">What Worked And Should Continue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A coherent evidence-to-action arc: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Samples, measurements, models, art,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questions returned across days instead of becoming isolated activities.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Hands-on and revisable evidence: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Estimates changed after counting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magnification, a route interpretation was corrected, and models changed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youth added evidence and questions.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Multiple rigorous participation routes: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Youth could speak, draw, map,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point, operate a tool, support a partner, observe, pass, and return. Low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energy was accepted without being treated as inability.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Movement and making: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movement reset, bicycle investigation, model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construction, and wearable advocacy connected physical activity and design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the shared scientific question.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Systems-level action: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Policy reasoning distributed responsibility across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infrastructure, producers, public education, capture systems, and community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action rather than blaming only individual littering.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Youth public leadership: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showcase positioned youth as people who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could demonstrate methods, explain uncertainty, answer questions,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propose action.</w:t>
      </w:r>
    </w:p>
    <w:p>
      <w:pPr>
        <w:pStyle w:val="FirstParagraph"/>
        <w:widowControl/>
      </w:pPr>
      <w:r>
        <w:rPr>
          <w:rFonts w:ascii="Arial" w:hAnsi="Arial"/>
        </w:rPr>
        <w:t xml:space="preserve">Piter and Aastha co-planned and co-facilitated this sequence. Co-facilitation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supported scientific setup, safety, responsive coaching, and more than 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participation route at the same time. Because the public-safe transcripts use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role labels when an adult voice cannot be assigned reliably, this addendum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does not claim which facilitator delivered a particular recorded line.</w:t>
      </w:r>
    </w:p>
    <w:bookmarkEnd w:id="20"/>
    <w:bookmarkStart w:id="21" w:name="revisions-for-the-next-implementation"/>
    <w:p>
      <w:pPr>
        <w:pStyle w:val="Heading2"/>
        <w:widowControl/>
      </w:pPr>
      <w:r>
        <w:rPr>
          <w:rFonts w:ascii="Arial" w:hAnsi="Arial"/>
        </w:rPr>
        <w:t xml:space="preserve">Revisions For The Next Implementation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Plan fewer essential blocks and protect investigation time.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Reserve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longer uninterrupted periods for microscopes, construction, comparison,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revision. Treat transition time as part of the schedule so completion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does not depend on rushing.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Schedule movement as an access route.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Place a movement option between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concentrated investigation blocks while preserving seated, quiet,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observing, and partner routes to the same idea.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Build sensory consent into the fish pathway.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Preview smell, texture,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tools, and visible tissue before the activity. Offer an equal non-fish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route using prepared evidence, images, or the synthetic-tissue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filtration model. A mask may be offered, but equipment is not consent;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declining must not reduce belonging or scientific participation. Adult-only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chemical handling remains adult-only.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Number the showcase stations.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Provide a visible start, numbered route,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optional return points, and a short card at each station naming the action,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evidence, limit, and available youth-presenter roles.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Keep feedback open and multimodal.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Retain speaking, writing, drawing,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plus-and-arrow, private, and delayed response options. Ask what youth would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keep or change without leading them toward an empowerment claim, and do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treat silence as agreement.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Preserve method and uncertainty.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Keep sample IDs, route context,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observation-versus-confirmation language, and model-revision routines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visible in both instruction and public presentation.</w:t>
      </w:r>
    </w:p>
    <w:bookmarkEnd w:id="21"/>
    <w:bookmarkStart w:id="22" w:name="evidence-and-privacy-boundaries"/>
    <w:p>
      <w:pPr>
        <w:pStyle w:val="Heading2"/>
        <w:widowControl/>
      </w:pPr>
      <w:r>
        <w:rPr>
          <w:rFonts w:ascii="Arial" w:hAnsi="Arial"/>
        </w:rPr>
        <w:t xml:space="preserve">Evidence And Privacy Boundaries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Arial" w:hAnsi="Arial"/>
        </w:rPr>
        <w:t xml:space="preserve">Clean speaker labels are activity-specific and do not identify one child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across days.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Arial" w:hAnsi="Arial"/>
        </w:rPr>
        <w:t xml:space="preserve">Photographs and artifacts show visible participation; they do not establish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private understanding, motivation, emotion, disability, identity,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consent.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Arial" w:hAnsi="Arial"/>
        </w:rPr>
        <w:t xml:space="preserve">Prepared evidence jars were instructional models, not environmental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concentration evidence. Retained sand particles, visible litter,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tire-wear residue were not all chemically confirmed as plastic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microplastic.</w:t>
      </w:r>
    </w:p>
    <w:p>
      <w:pPr>
        <w:pStyle w:val="Compact"/>
        <w:widowControl/>
        <w:numPr>
          <w:ilvl w:val="0"/>
          <w:numId w:val="1003"/>
        </w:numPr>
      </w:pPr>
      <w:r>
        <w:rPr>
          <w:rStyle w:val="VerbatimChar"/>
          <w:rFonts w:ascii="Arial" w:hAnsi="Arial"/>
        </w:rPr>
        <w:t xml:space="preserve">51+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a record of visible litter observations along an approximately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406-meter route, not a complete pollution survey or count of confirmed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plastic.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Arial" w:hAnsi="Arial"/>
        </w:rPr>
        <w:t xml:space="preserve">Models supported causal reasoning and revision; they did not prove a human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exposure route or health effect.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Arial" w:hAnsi="Arial"/>
        </w:rPr>
        <w:t xml:space="preserve">Day 5 is supported by 10 photographs and same-session recorder transcripts;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there is no Day 5 source video.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Arial" w:hAnsi="Arial"/>
        </w:rPr>
        <w:t xml:space="preserve">Adult prompts shaped the Day 6 retrospective. Silence is not agreement,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prompted empowerment exchange is not independent evidence that the camp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caused empowerment.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ascii="Arial" w:hAnsi="Arial"/>
        </w:rPr>
        <w:t xml:space="preserve">Youth names, incidental personal disclosures, and unrelated recordings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excluded from this public addendum.</w:t>
      </w:r>
    </w:p>
    <w:bookmarkEnd w:id="22"/>
    <w:bookmarkStart w:id="29" w:name="direct-sources"/>
    <w:p>
      <w:pPr>
        <w:pStyle w:val="Heading2"/>
        <w:widowControl/>
      </w:pPr>
      <w:r>
        <w:rPr>
          <w:rFonts w:ascii="Arial" w:hAnsi="Arial"/>
        </w:rPr>
        <w:t xml:space="preserve">Direct Sources</w:t>
      </w:r>
    </w:p>
    <w:p>
      <w:pPr>
        <w:pStyle w:val="Compact"/>
        <w:widowControl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Day 1 - Field Investigation</w:t>
        </w:r>
      </w:hyperlink>
    </w:p>
    <w:p>
      <w:pPr>
        <w:pStyle w:val="Compact"/>
        <w:widowControl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Day 2 - Air, Neighborhood, Fish, and Model</w:t>
        </w:r>
      </w:hyperlink>
    </w:p>
    <w:p>
      <w:pPr>
        <w:pStyle w:val="Compact"/>
        <w:widowControl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Day 3 - Separation, Measurement, Friction, Scientist, and Identity</w:t>
        </w:r>
      </w:hyperlink>
    </w:p>
    <w:p>
      <w:pPr>
        <w:pStyle w:val="Compact"/>
        <w:widowControl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Day 4 - Model, Policy, and Advocacy</w:t>
        </w:r>
      </w:hyperlink>
    </w:p>
    <w:p>
      <w:pPr>
        <w:pStyle w:val="Compact"/>
        <w:widowControl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Day 5 - Youth-Led Showcase</w:t>
        </w:r>
      </w:hyperlink>
    </w:p>
    <w:p>
      <w:pPr>
        <w:pStyle w:val="Compact"/>
        <w:widowControl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Day 6 - Youth Retrospective and Future Design</w:t>
        </w:r>
      </w:hyperlink>
    </w:p>
    <w:bookmarkEnd w:id="29"/>
    <w:bookmarkStart w:id="30" w:name="ai-use-disclosure"/>
    <w:p>
      <w:pPr>
        <w:pStyle w:val="Heading2"/>
        <w:widowControl/>
      </w:pPr>
      <w:r>
        <w:rPr>
          <w:rFonts w:ascii="Arial" w:hAnsi="Arial"/>
        </w:rPr>
        <w:t xml:space="preserve">AI Use Disclosure</w:t>
      </w:r>
    </w:p>
    <w:p>
      <w:pPr>
        <w:pStyle w:val="FirstParagraph"/>
        <w:widowControl/>
      </w:pPr>
      <w:r>
        <w:rPr>
          <w:rFonts w:ascii="Arial" w:hAnsi="Arial"/>
        </w:rPr>
        <w:t xml:space="preserve">Piter used OpenAI Codex under his supervision in August 2026 to compare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planned unit with the six deidentified clean camp records, organize the actual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sequence, draft this revision addendum, and check claims and links against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sources. AI did not identify youth, infer diagnoses or internal states,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replace the work of Aastha, the youth, or the camp community. AI-assisted recap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visuals may support communication elsewhere in the project, but they are not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treated here as original evidence. Piter reviewed the language and remains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responsible for the science, privacy, interpretation, and final submission.</w:t>
      </w:r>
    </w:p>
    <w:bookmarkEnd w:id="30"/>
    <w:bookmarkStart w:id="31" w:name="completion-and-submission-boundary"/>
    <w:p>
      <w:pPr>
        <w:pStyle w:val="Heading2"/>
        <w:widowControl/>
      </w:pPr>
      <w:r>
        <w:rPr>
          <w:rFonts w:ascii="Arial" w:hAnsi="Arial"/>
        </w:rPr>
        <w:t xml:space="preserve">Completion And Submission Boundary</w:t>
      </w:r>
    </w:p>
    <w:p>
      <w:pPr>
        <w:pStyle w:val="FirstParagraph"/>
        <w:widowControl/>
      </w:pPr>
      <w:r>
        <w:rPr>
          <w:rFonts w:ascii="Arial" w:hAnsi="Arial"/>
        </w:rPr>
        <w:t xml:space="preserve">This repository artifact is complete. Its presence here does not establish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that it was uploaded to, submitted through, or accepted by Blackboard; that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submission remains unverified.</w:t>
      </w:r>
    </w:p>
    <w:bookmarkEnd w:id="31"/>
    <w:bookmarkEnd w:id="32"/>
    <w:sectPr>
      <w:footerReference r:id="rId9" w:type="default"/>
      <w:footnotePr>
        <w:numRestart w:val="eachSect"/>
      </w:footnotePr>
      <w:pgSz w:h="15840" w:w="12240"/>
      <w:pgMar w:bottom="1296" w:footer="360" w:left="1037" w:right="1037" w:top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00" w:before="180" w:line="259" w:lineRule="auto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100" w:line="259" w:lineRule="auto"/>
    </w:pPr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100" w:before="36" w:line="259" w:lineRule="auto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00" w:before="2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23047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00" w:before="200"/>
      <w:outlineLvl w:val="0"/>
    </w:pPr>
    <w:rPr>
      <w:rFonts w:ascii="Arial" w:asciiTheme="majorHAnsi" w:cstheme="majorBidi" w:eastAsiaTheme="majorEastAsia" w:hAnsi="Arial" w:hAnsiTheme="majorHAnsi"/>
      <w:b/>
      <w:color w:val="123047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00" w:before="200"/>
      <w:outlineLvl w:val="1"/>
    </w:pPr>
    <w:rPr>
      <w:rFonts w:ascii="Arial" w:asciiTheme="majorHAnsi" w:cstheme="majorBidi" w:eastAsiaTheme="majorEastAsia" w:hAnsi="Arial" w:hAnsiTheme="majorHAnsi"/>
      <w:b/>
      <w:color w:val="087F8C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</w:pPr>
    <w:rPr>
      <w:rFonts w:ascii="Arial" w:cstheme="majorBidi" w:eastAsiaTheme="majorEastAsia" w:hAnsi="Arial"/>
      <w:b/>
      <w:color w:val="66338C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Relationship Id="rId23" Type="http://schemas.openxmlformats.org/officeDocument/2006/relationships/hyperlink" Target="../../transcripts/camp-clean/2026-07-24-day1-field-investigation.md" TargetMode="External"/><Relationship Id="rId24" Type="http://schemas.openxmlformats.org/officeDocument/2006/relationships/hyperlink" Target="../../transcripts/camp-clean/2026-07-27-day2-air-neighborhood-fish-model.md" TargetMode="External"/><Relationship Id="rId25" Type="http://schemas.openxmlformats.org/officeDocument/2006/relationships/hyperlink" Target="../../transcripts/camp-clean/2026-07-28-day3-separation-measurement-friction-scientist-identity.md" TargetMode="External"/><Relationship Id="rId26" Type="http://schemas.openxmlformats.org/officeDocument/2006/relationships/hyperlink" Target="../../transcripts/camp-clean/2026-07-29-day4-model-policy-advocacy.md" TargetMode="External"/><Relationship Id="rId27" Type="http://schemas.openxmlformats.org/officeDocument/2006/relationships/hyperlink" Target="../../transcripts/camp-clean/2026-07-30-day5-youth-led-showcase.md" TargetMode="External"/><Relationship Id="rId28" Type="http://schemas.openxmlformats.org/officeDocument/2006/relationships/hyperlink" Target="../../transcripts/camp-clean/2026-07-31-day6-youth-retrospective.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../../transcripts/camp-clean/2026-07-24-day1-field-investigation.md" TargetMode="External"/><Relationship Id="rId24" Type="http://schemas.openxmlformats.org/officeDocument/2006/relationships/hyperlink" Target="../../transcripts/camp-clean/2026-07-27-day2-air-neighborhood-fish-model.md" TargetMode="External"/><Relationship Id="rId25" Type="http://schemas.openxmlformats.org/officeDocument/2006/relationships/hyperlink" Target="../../transcripts/camp-clean/2026-07-28-day3-separation-measurement-friction-scientist-identity.md" TargetMode="External"/><Relationship Id="rId26" Type="http://schemas.openxmlformats.org/officeDocument/2006/relationships/hyperlink" Target="../../transcripts/camp-clean/2026-07-29-day4-model-policy-advocacy.md" TargetMode="External"/><Relationship Id="rId27" Type="http://schemas.openxmlformats.org/officeDocument/2006/relationships/hyperlink" Target="../../transcripts/camp-clean/2026-07-30-day5-youth-led-showcase.md" TargetMode="External"/><Relationship Id="rId28" Type="http://schemas.openxmlformats.org/officeDocument/2006/relationships/hyperlink" Target="../../transcripts/camp-clean/2026-07-31-day6-youth-retrospectiv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Invisible Invaders: Post-Camp Implementation Revision Addendum</dc:title>
  <dc:creator>Piter Z. Garcia Bautista</dc:creator>
  <cp:keywords>EDU486, justice-centered STEM, accessibility</cp:keywords>
  <dcterms:created xsi:type="dcterms:W3CDTF">2026-08-05T13:17:32Z</dcterms:created>
  <dcterms:modified xsi:type="dcterms:W3CDTF">2026-08-05T13:17:32Z</dcterms:modified>
  <dc:subject>EDU486 course closeout submission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