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40"/>
      </w:pPr>
      <w:r>
        <w:rPr>
          <w:rFonts w:ascii="Arial" w:hAnsi="Arial"/>
          <w:b/>
          <w:i w:val="0"/>
          <w:color w:val="0F172A"/>
          <w:sz w:val="48"/>
        </w:rPr>
        <w:t>Fiber Fighters: Tiny Fibers, Big Systems</w:t>
      </w:r>
    </w:p>
    <w:p>
      <w:pPr>
        <w:widowControl/>
        <w:spacing w:after="200"/>
      </w:pPr>
      <w:r>
        <w:rPr>
          <w:rFonts w:ascii="Arial" w:hAnsi="Arial"/>
          <w:b/>
          <w:i w:val="0"/>
          <w:color w:val="475569"/>
          <w:sz w:val="21"/>
        </w:rPr>
        <w:t xml:space="preserve">Misong + Piter  |  </w:t>
      </w:r>
      <w:hyperlink r:id="rId9">
        <w:r>
          <w:rPr>
            <w:color w:val="2563A6"/>
            <w:u w:val="single"/>
            <w:rFonts w:ascii="Arial" w:hAnsi="Arial"/>
            <w:sz w:val="21"/>
          </w:rPr>
          <w:t>Open the shared Google Doc</w:t>
        </w:r>
      </w:hyperlink>
    </w:p>
    <w:tbl>
      <w:tblPr>
        <w:tblW w:type="auto" w:w="0"/>
        <w:jc w:val="center"/>
        <w:tblLayout w:type="fixed"/>
        <w:tblLook w:firstColumn="1" w:firstRow="1" w:lastColumn="0" w:lastRow="0" w:noHBand="0" w:noVBand="1" w:val="04A0"/>
      </w:tblPr>
      <w:tblGrid>
        <w:gridCol w:w="9936"/>
      </w:tblGrid>
      <w:tr>
        <w:tc>
          <w:tcPr>
            <w:tcW w:type="dxa" w:w="9360"/>
            <w:shd w:fill="E3F2FD"/>
            <w:tcBorders>
              <w:top w:val="single" w:sz="14" w:color="2563A6"/>
              <w:left w:val="single" w:sz="14" w:color="2563A6"/>
              <w:bottom w:val="single" w:sz="14" w:color="2563A6"/>
              <w:right w:val="single" w:sz="14" w:color="2563A6"/>
            </w:tcBorders>
            <w:tcMar>
              <w:top w:w="150" w:type="dxa"/>
              <w:start w:w="180" w:type="dxa"/>
              <w:bottom w:w="150" w:type="dxa"/>
              <w:end w:w="180" w:type="dxa"/>
            </w:tcMar>
          </w:tcPr>
          <w:p>
            <w:pPr>
              <w:spacing w:after="0"/>
            </w:pPr>
            <w:r>
              <w:rPr>
                <w:rFonts w:ascii="Arial" w:hAnsi="Arial"/>
                <w:b/>
                <w:i w:val="0"/>
                <w:color w:val="2563A6"/>
                <w:sz w:val="20"/>
              </w:rPr>
              <w:t>OUR QUESTION</w:t>
              <w:br/>
            </w:r>
            <w:r>
              <w:rPr>
                <w:rFonts w:ascii="Arial" w:hAnsi="Arial"/>
                <w:b/>
                <w:i w:val="0"/>
                <w:color w:val="0F172A"/>
                <w:sz w:val="30"/>
              </w:rPr>
              <w:t>How can fibers from clothing end up in water, fish, and food when we cannot even see them?</w:t>
            </w:r>
          </w:p>
        </w:tc>
        <w:trPr>
          <w:tblHeader/>
        </w:trPr>
      </w:tr>
    </w:tbl>
    <w:p>
      <w:pPr>
        <w:widowControl/>
      </w:pP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340"/>
            <w:shd w:fill="E8F5E9"/>
            <w:tcBorders>
              <w:top w:val="single" w:sz="8" w:color="2F6F3E"/>
              <w:left w:val="single" w:sz="8" w:color="2F6F3E"/>
              <w:bottom w:val="single" w:sz="8" w:color="2F6F3E"/>
              <w:right w:val="single" w:sz="8" w:color="2F6F3E"/>
            </w:tcBorders>
            <w:tcMar>
              <w:top w:w="90" w:type="dxa"/>
              <w:start w:w="90" w:type="dxa"/>
              <w:bottom w:w="90" w:type="dxa"/>
              <w:end w:w="90" w:type="dxa"/>
            </w:tcMar>
            <w:vAlign w:val="center"/>
          </w:tcPr>
          <w:p>
            <w:pPr>
              <w:spacing w:after="0"/>
              <w:jc w:val="center"/>
            </w:pPr>
            <w:r>
              <w:rPr>
                <w:rFonts w:ascii="Arial" w:hAnsi="Arial"/>
                <w:b/>
                <w:i w:val="0"/>
                <w:color w:val="2F6F3E"/>
                <w:sz w:val="19"/>
              </w:rPr>
              <w:t>SCIENCE</w:t>
              <w:br/>
            </w:r>
            <w:r>
              <w:rPr>
                <w:rFonts w:ascii="Arial" w:hAnsi="Arial"/>
                <w:b w:val="0"/>
                <w:i w:val="0"/>
                <w:color w:val="0F172A"/>
                <w:sz w:val="18"/>
              </w:rPr>
              <w:t>what happens</w:t>
            </w:r>
          </w:p>
        </w:tc>
        <w:tc>
          <w:tcPr>
            <w:tcW w:type="dxa" w:w="2340"/>
            <w:shd w:fill="E3F2FD"/>
            <w:tcBorders>
              <w:top w:val="single" w:sz="8" w:color="2563A6"/>
              <w:left w:val="single" w:sz="8" w:color="2563A6"/>
              <w:bottom w:val="single" w:sz="8" w:color="2563A6"/>
              <w:right w:val="single" w:sz="8" w:color="2563A6"/>
            </w:tcBorders>
            <w:tcMar>
              <w:top w:w="90" w:type="dxa"/>
              <w:start w:w="90" w:type="dxa"/>
              <w:bottom w:w="90" w:type="dxa"/>
              <w:end w:w="90" w:type="dxa"/>
            </w:tcMar>
            <w:vAlign w:val="center"/>
          </w:tcPr>
          <w:p>
            <w:pPr>
              <w:spacing w:after="0"/>
              <w:jc w:val="center"/>
            </w:pPr>
            <w:r>
              <w:rPr>
                <w:rFonts w:ascii="Arial" w:hAnsi="Arial"/>
                <w:b/>
                <w:i w:val="0"/>
                <w:color w:val="2563A6"/>
                <w:sz w:val="19"/>
              </w:rPr>
              <w:t>EVIDENCE</w:t>
              <w:br/>
            </w:r>
            <w:r>
              <w:rPr>
                <w:rFonts w:ascii="Arial" w:hAnsi="Arial"/>
                <w:b w:val="0"/>
                <w:i w:val="0"/>
                <w:color w:val="0F172A"/>
                <w:sz w:val="18"/>
              </w:rPr>
              <w:t>how we know</w:t>
            </w:r>
          </w:p>
        </w:tc>
        <w:tc>
          <w:tcPr>
            <w:tcW w:type="dxa" w:w="2340"/>
            <w:shd w:fill="F3E8FF"/>
            <w:tcBorders>
              <w:top w:val="single" w:sz="8" w:color="6D28D9"/>
              <w:left w:val="single" w:sz="8" w:color="6D28D9"/>
              <w:bottom w:val="single" w:sz="8" w:color="6D28D9"/>
              <w:right w:val="single" w:sz="8" w:color="6D28D9"/>
            </w:tcBorders>
            <w:tcMar>
              <w:top w:w="90" w:type="dxa"/>
              <w:start w:w="90" w:type="dxa"/>
              <w:bottom w:w="90" w:type="dxa"/>
              <w:end w:w="90" w:type="dxa"/>
            </w:tcMar>
            <w:vAlign w:val="center"/>
          </w:tcPr>
          <w:p>
            <w:pPr>
              <w:spacing w:after="0"/>
              <w:jc w:val="center"/>
            </w:pPr>
            <w:r>
              <w:rPr>
                <w:rFonts w:ascii="Arial" w:hAnsi="Arial"/>
                <w:b/>
                <w:i w:val="0"/>
                <w:color w:val="6D28D9"/>
                <w:sz w:val="19"/>
              </w:rPr>
              <w:t>ACCESS</w:t>
              <w:br/>
            </w:r>
            <w:r>
              <w:rPr>
                <w:rFonts w:ascii="Arial" w:hAnsi="Arial"/>
                <w:b w:val="0"/>
                <w:i w:val="0"/>
                <w:color w:val="0F172A"/>
                <w:sz w:val="18"/>
              </w:rPr>
              <w:t>ways in</w:t>
            </w:r>
          </w:p>
        </w:tc>
        <w:tc>
          <w:tcPr>
            <w:tcW w:type="dxa" w:w="2340"/>
            <w:shd w:fill="FFF4E5"/>
            <w:tcBorders>
              <w:top w:val="single" w:sz="8" w:color="B45309"/>
              <w:left w:val="single" w:sz="8" w:color="B45309"/>
              <w:bottom w:val="single" w:sz="8" w:color="B45309"/>
              <w:right w:val="single" w:sz="8" w:color="B45309"/>
            </w:tcBorders>
            <w:tcMar>
              <w:top w:w="90" w:type="dxa"/>
              <w:start w:w="90" w:type="dxa"/>
              <w:bottom w:w="90" w:type="dxa"/>
              <w:end w:w="90" w:type="dxa"/>
            </w:tcMar>
            <w:vAlign w:val="center"/>
          </w:tcPr>
          <w:p>
            <w:pPr>
              <w:spacing w:after="0"/>
              <w:jc w:val="center"/>
            </w:pPr>
            <w:r>
              <w:rPr>
                <w:rFonts w:ascii="Arial" w:hAnsi="Arial"/>
                <w:b/>
                <w:i w:val="0"/>
                <w:color w:val="B45309"/>
                <w:sz w:val="19"/>
              </w:rPr>
              <w:t>JUSTICE</w:t>
              <w:br/>
            </w:r>
            <w:r>
              <w:rPr>
                <w:rFonts w:ascii="Arial" w:hAnsi="Arial"/>
                <w:b w:val="0"/>
                <w:i w:val="0"/>
                <w:color w:val="0F172A"/>
                <w:sz w:val="18"/>
              </w:rPr>
              <w:t>power + action</w:t>
            </w:r>
          </w:p>
        </w:tc>
        <w:trPr>
          <w:tblHeader/>
        </w:trPr>
      </w:tr>
    </w:tbl>
    <w:p>
      <w:pPr>
        <w:pStyle w:val="Heading1"/>
        <w:keepNext/>
        <w:widowControl/>
      </w:pPr>
      <w:r>
        <w:rPr>
          <w:rFonts w:ascii="Arial" w:hAnsi="Arial"/>
          <w:b/>
          <w:i w:val="0"/>
          <w:color w:val="0F172A"/>
          <w:sz w:val="32"/>
        </w:rPr>
        <w:t>The 60-Second Explanation</w:t>
      </w:r>
    </w:p>
    <w:tbl>
      <w:tblPr>
        <w:tblW w:type="auto" w:w="0"/>
        <w:jc w:val="center"/>
        <w:tblLayout w:type="fixed"/>
        <w:tblLook w:firstColumn="1" w:firstRow="1" w:lastColumn="0" w:lastRow="0" w:noHBand="0" w:noVBand="1" w:val="04A0"/>
      </w:tblPr>
      <w:tblGrid>
        <w:gridCol w:w="4968"/>
        <w:gridCol w:w="4968"/>
      </w:tblGrid>
      <w:tr>
        <w:tc>
          <w:tcPr>
            <w:tcW w:type="dxa" w:w="4968"/>
            <w:shd w:fill="E8F5E9"/>
            <w:tcBorders>
              <w:top w:val="single" w:sz="10" w:color="2F6F3E"/>
              <w:left w:val="single" w:sz="10" w:color="2F6F3E"/>
              <w:bottom w:val="single" w:sz="10" w:color="2F6F3E"/>
              <w:right w:val="single" w:sz="10" w:color="2F6F3E"/>
            </w:tcBorders>
            <w:tcMar>
              <w:top w:w="105" w:type="dxa"/>
              <w:start w:w="120" w:type="dxa"/>
              <w:bottom w:w="105" w:type="dxa"/>
              <w:end w:w="120" w:type="dxa"/>
            </w:tcMar>
            <w:vAlign w:val="center"/>
          </w:tcPr>
          <w:p>
            <w:pPr>
              <w:spacing w:after="0"/>
            </w:pPr>
            <w:r>
              <w:rPr>
                <w:rFonts w:ascii="Arial" w:hAnsi="Arial"/>
                <w:b/>
                <w:i w:val="0"/>
                <w:color w:val="2F6F3E"/>
                <w:sz w:val="19"/>
              </w:rPr>
              <w:t>1  MATERIAL</w:t>
            </w:r>
          </w:p>
        </w:tc>
        <w:tc>
          <w:tcPr>
            <w:tcW w:type="dxa" w:w="4968"/>
            <w:shd w:fill="FFFFFF"/>
            <w:tcBorders>
              <w:top w:val="single" w:sz="6" w:color="CBD5E1"/>
              <w:left w:val="single" w:sz="6" w:color="CBD5E1"/>
              <w:bottom w:val="single" w:sz="6" w:color="CBD5E1"/>
              <w:right w:val="single" w:sz="6" w:color="CBD5E1"/>
            </w:tcBorders>
            <w:tcMar>
              <w:top w:w="105" w:type="dxa"/>
              <w:start w:w="140" w:type="dxa"/>
              <w:bottom w:w="105" w:type="dxa"/>
              <w:end w:w="140" w:type="dxa"/>
            </w:tcMar>
            <w:vAlign w:val="center"/>
          </w:tcPr>
          <w:p>
            <w:pPr>
              <w:keepLines/>
              <w:spacing w:after="80" w:before="80" w:line="259" w:lineRule="auto"/>
            </w:pPr>
            <w:r>
              <w:rPr>
                <w:rFonts w:ascii="Arial" w:hAnsi="Arial"/>
                <w:color w:val="111827"/>
                <w:sz w:val="22"/>
              </w:rPr>
              <w:t xml:space="preserve">Polyester, nylon, acrylic, and spandex are synthetic polymers made by joining small chemical units into long molecular chains. Manufacturers melt or dissolve these polymers, pull them into threads, and weave or knit the threads into fabric. The shirt may feel soft, but each synthetic thread is still plastic material that can break into smaller plastic fibers.  </w:t>
            </w:r>
            <w:hyperlink r:id="rId10">
              <w:r>
                <w:rPr>
                  <w:rFonts w:ascii="Arial" w:hAnsi="Arial"/>
                  <w:color w:val="2166A5"/>
                  <w:u w:val="single"/>
                  <w:sz w:val="22"/>
                  <w:szCs w:val="22"/>
                </w:rPr>
                <w:t>NOAA evidence</w:t>
              </w:r>
            </w:hyperlink>
          </w:p>
        </w:tc>
        <w:trPr>
          <w:cantSplit/>
          <w:tblHeader w:val="0"/>
        </w:trPr>
      </w:tr>
      <w:tr>
        <w:trPr>
          <w:cantSplit/>
        </w:trPr>
        <w:tc>
          <w:tcPr>
            <w:tcW w:type="dxa" w:w="4968"/>
            <w:shd w:fill="E3F2FD"/>
            <w:tcBorders>
              <w:top w:val="single" w:sz="10" w:color="2563A6"/>
              <w:left w:val="single" w:sz="10" w:color="2563A6"/>
              <w:bottom w:val="single" w:sz="10" w:color="2563A6"/>
              <w:right w:val="single" w:sz="10" w:color="2563A6"/>
            </w:tcBorders>
            <w:tcMar>
              <w:top w:w="105" w:type="dxa"/>
              <w:start w:w="120" w:type="dxa"/>
              <w:bottom w:w="105" w:type="dxa"/>
              <w:end w:w="120" w:type="dxa"/>
            </w:tcMar>
            <w:vAlign w:val="center"/>
          </w:tcPr>
          <w:p>
            <w:pPr>
              <w:spacing w:after="0"/>
            </w:pPr>
            <w:r>
              <w:rPr>
                <w:rFonts w:ascii="Arial" w:hAnsi="Arial"/>
                <w:b/>
                <w:i w:val="0"/>
                <w:color w:val="2563A6"/>
                <w:sz w:val="19"/>
              </w:rPr>
              <w:t>2  RELEASE</w:t>
            </w:r>
          </w:p>
        </w:tc>
        <w:tc>
          <w:tcPr>
            <w:tcW w:type="dxa" w:w="4968"/>
            <w:shd w:fill="FFFFFF"/>
            <w:tcBorders>
              <w:top w:val="single" w:sz="6" w:color="CBD5E1"/>
              <w:left w:val="single" w:sz="6" w:color="CBD5E1"/>
              <w:bottom w:val="single" w:sz="6" w:color="CBD5E1"/>
              <w:right w:val="single" w:sz="6" w:color="CBD5E1"/>
            </w:tcBorders>
            <w:tcMar>
              <w:top w:w="105" w:type="dxa"/>
              <w:start w:w="140" w:type="dxa"/>
              <w:bottom w:w="105" w:type="dxa"/>
              <w:end w:w="140" w:type="dxa"/>
            </w:tcMar>
            <w:vAlign w:val="center"/>
          </w:tcPr>
          <w:p>
            <w:pPr>
              <w:keepLines/>
              <w:spacing w:after="80" w:before="80" w:line="259" w:lineRule="auto"/>
            </w:pPr>
            <w:r>
              <w:rPr>
                <w:rFonts w:ascii="Arial" w:hAnsi="Arial"/>
                <w:color w:val="111827"/>
                <w:sz w:val="22"/>
              </w:rPr>
              <w:t xml:space="preserve">Everyday wearing bends and rubs fabric, while washing and drying add water, detergent, heat, and repeated friction. This mechanical stress loosens pieces from the threads and releases them into wash water, dryer exhaust, and household dust. When a released plastic fiber is smaller than five millimeters, it falls within the common definition of a microplastic.  </w:t>
            </w:r>
            <w:hyperlink r:id="rId10">
              <w:r>
                <w:rPr>
                  <w:rFonts w:ascii="Arial" w:hAnsi="Arial"/>
                  <w:color w:val="2166A5"/>
                  <w:u w:val="single"/>
                  <w:sz w:val="22"/>
                  <w:szCs w:val="22"/>
                </w:rPr>
                <w:t>NOAA evidence</w:t>
              </w:r>
            </w:hyperlink>
          </w:p>
        </w:tc>
      </w:tr>
      <w:tr>
        <w:trPr>
          <w:cantSplit/>
        </w:trPr>
        <w:tc>
          <w:tcPr>
            <w:tcW w:type="dxa" w:w="4968"/>
            <w:shd w:fill="E3F2FD"/>
            <w:tcBorders>
              <w:top w:val="single" w:sz="10" w:color="2563A6"/>
              <w:left w:val="single" w:sz="10" w:color="2563A6"/>
              <w:bottom w:val="single" w:sz="10" w:color="2563A6"/>
              <w:right w:val="single" w:sz="10" w:color="2563A6"/>
            </w:tcBorders>
            <w:tcMar>
              <w:top w:w="105" w:type="dxa"/>
              <w:start w:w="120" w:type="dxa"/>
              <w:bottom w:w="105" w:type="dxa"/>
              <w:end w:w="120" w:type="dxa"/>
            </w:tcMar>
            <w:vAlign w:val="center"/>
          </w:tcPr>
          <w:p>
            <w:pPr>
              <w:spacing w:after="0"/>
            </w:pPr>
            <w:r>
              <w:rPr>
                <w:rFonts w:ascii="Arial" w:hAnsi="Arial"/>
                <w:b/>
                <w:i w:val="0"/>
                <w:color w:val="2563A6"/>
                <w:sz w:val="19"/>
              </w:rPr>
              <w:t>3  TRANSPORT</w:t>
            </w:r>
          </w:p>
        </w:tc>
        <w:tc>
          <w:tcPr>
            <w:tcW w:type="dxa" w:w="4968"/>
            <w:shd w:fill="FFFFFF"/>
            <w:tcBorders>
              <w:top w:val="single" w:sz="6" w:color="CBD5E1"/>
              <w:left w:val="single" w:sz="6" w:color="CBD5E1"/>
              <w:bottom w:val="single" w:sz="6" w:color="CBD5E1"/>
              <w:right w:val="single" w:sz="6" w:color="CBD5E1"/>
            </w:tcBorders>
            <w:tcMar>
              <w:top w:w="105" w:type="dxa"/>
              <w:start w:w="140" w:type="dxa"/>
              <w:bottom w:w="105" w:type="dxa"/>
              <w:end w:w="140" w:type="dxa"/>
            </w:tcMar>
            <w:vAlign w:val="center"/>
          </w:tcPr>
          <w:p>
            <w:pPr>
              <w:keepLines/>
              <w:spacing w:after="80" w:before="80" w:line="259" w:lineRule="auto"/>
            </w:pPr>
            <w:r>
              <w:rPr>
                <w:rFonts w:ascii="Arial" w:hAnsi="Arial"/>
                <w:color w:val="111827"/>
                <w:sz w:val="22"/>
              </w:rPr>
              <w:t xml:space="preserve">After a washing machine drains, released fibers enter the wastewater system. Other fibers move through dryer exhaust, indoor air, household dust, stormwater runoff, or sewage sludge, so there is more than one route from clothing to the environment. Their path depends on local infrastructure, disposal practices, weather, and where captured waste is later placed.  </w:t>
            </w:r>
            <w:hyperlink r:id="rId11">
              <w:r>
                <w:rPr>
                  <w:rFonts w:ascii="Arial" w:hAnsi="Arial"/>
                  <w:color w:val="2166A5"/>
                  <w:u w:val="single"/>
                  <w:sz w:val="22"/>
                  <w:szCs w:val="22"/>
                </w:rPr>
                <w:t>EPA evidence</w:t>
              </w:r>
            </w:hyperlink>
          </w:p>
        </w:tc>
      </w:tr>
      <w:tr>
        <w:trPr>
          <w:cantSplit/>
        </w:trPr>
        <w:tc>
          <w:tcPr>
            <w:tcW w:type="dxa" w:w="4968"/>
            <w:shd w:fill="E0F2F1"/>
            <w:tcBorders>
              <w:top w:val="single" w:sz="10" w:color="287271"/>
              <w:left w:val="single" w:sz="10" w:color="287271"/>
              <w:bottom w:val="single" w:sz="10" w:color="287271"/>
              <w:right w:val="single" w:sz="10" w:color="287271"/>
            </w:tcBorders>
            <w:tcMar>
              <w:top w:w="105" w:type="dxa"/>
              <w:start w:w="120" w:type="dxa"/>
              <w:bottom w:w="105" w:type="dxa"/>
              <w:end w:w="120" w:type="dxa"/>
            </w:tcMar>
            <w:vAlign w:val="center"/>
          </w:tcPr>
          <w:p>
            <w:pPr>
              <w:spacing w:after="0"/>
            </w:pPr>
            <w:r>
              <w:rPr>
                <w:rFonts w:ascii="Arial" w:hAnsi="Arial"/>
                <w:b/>
                <w:i w:val="0"/>
                <w:color w:val="287271"/>
                <w:sz w:val="19"/>
              </w:rPr>
              <w:t>4  TREATMENT</w:t>
            </w:r>
          </w:p>
        </w:tc>
        <w:tc>
          <w:tcPr>
            <w:tcW w:type="dxa" w:w="4968"/>
            <w:shd w:fill="FFFFFF"/>
            <w:tcBorders>
              <w:top w:val="single" w:sz="6" w:color="CBD5E1"/>
              <w:left w:val="single" w:sz="6" w:color="CBD5E1"/>
              <w:bottom w:val="single" w:sz="6" w:color="CBD5E1"/>
              <w:right w:val="single" w:sz="6" w:color="CBD5E1"/>
            </w:tcBorders>
            <w:tcMar>
              <w:top w:w="105" w:type="dxa"/>
              <w:start w:w="140" w:type="dxa"/>
              <w:bottom w:w="105" w:type="dxa"/>
              <w:end w:w="140" w:type="dxa"/>
            </w:tcMar>
            <w:vAlign w:val="center"/>
          </w:tcPr>
          <w:p>
            <w:pPr>
              <w:keepLines/>
              <w:spacing w:after="80" w:before="80" w:line="259" w:lineRule="auto"/>
            </w:pPr>
            <w:r>
              <w:rPr>
                <w:rFonts w:ascii="Arial" w:hAnsi="Arial"/>
                <w:color w:val="111827"/>
                <w:sz w:val="22"/>
              </w:rPr>
              <w:t xml:space="preserve">Treatment plants use screening, settling, and biological processes that remove many particles from wastewater. Because fibers differ in size, shape, and density, the system does not capture every one; some remain in treated effluent released to waterways. Many captured fibers concentrate in sewage sludge, which can create another pathway if sludge is land-applied or moved.  </w:t>
            </w:r>
            <w:hyperlink r:id="rId12">
              <w:r>
                <w:rPr>
                  <w:rFonts w:ascii="Arial" w:hAnsi="Arial"/>
                  <w:color w:val="2166A5"/>
                  <w:u w:val="single"/>
                  <w:sz w:val="22"/>
                  <w:szCs w:val="22"/>
                </w:rPr>
                <w:t>Peer-reviewed review</w:t>
              </w:r>
            </w:hyperlink>
          </w:p>
        </w:tc>
      </w:tr>
      <w:tr>
        <w:trPr>
          <w:cantSplit/>
        </w:trPr>
        <w:tc>
          <w:tcPr>
            <w:tcW w:type="dxa" w:w="4968"/>
            <w:shd w:fill="E8F5E9"/>
            <w:tcBorders>
              <w:top w:val="single" w:sz="10" w:color="2F6F3E"/>
              <w:left w:val="single" w:sz="10" w:color="2F6F3E"/>
              <w:bottom w:val="single" w:sz="10" w:color="2F6F3E"/>
              <w:right w:val="single" w:sz="10" w:color="2F6F3E"/>
            </w:tcBorders>
            <w:tcMar>
              <w:top w:w="105" w:type="dxa"/>
              <w:start w:w="120" w:type="dxa"/>
              <w:bottom w:w="105" w:type="dxa"/>
              <w:end w:w="120" w:type="dxa"/>
            </w:tcMar>
            <w:vAlign w:val="center"/>
          </w:tcPr>
          <w:p>
            <w:pPr>
              <w:spacing w:after="0"/>
            </w:pPr>
            <w:r>
              <w:rPr>
                <w:rFonts w:ascii="Arial" w:hAnsi="Arial"/>
                <w:b/>
                <w:i w:val="0"/>
                <w:color w:val="2F6F3E"/>
                <w:sz w:val="19"/>
              </w:rPr>
              <w:t>5  FOOD WEB</w:t>
            </w:r>
          </w:p>
        </w:tc>
        <w:tc>
          <w:tcPr>
            <w:tcW w:type="dxa" w:w="4968"/>
            <w:shd w:fill="FFFFFF"/>
            <w:tcBorders>
              <w:top w:val="single" w:sz="6" w:color="CBD5E1"/>
              <w:left w:val="single" w:sz="6" w:color="CBD5E1"/>
              <w:bottom w:val="single" w:sz="6" w:color="CBD5E1"/>
              <w:right w:val="single" w:sz="6" w:color="CBD5E1"/>
            </w:tcBorders>
            <w:tcMar>
              <w:top w:w="105" w:type="dxa"/>
              <w:start w:w="140" w:type="dxa"/>
              <w:bottom w:w="105" w:type="dxa"/>
              <w:end w:w="140" w:type="dxa"/>
            </w:tcMar>
            <w:vAlign w:val="center"/>
          </w:tcPr>
          <w:p>
            <w:pPr>
              <w:keepLines/>
              <w:spacing w:after="80" w:before="80" w:line="259" w:lineRule="auto"/>
            </w:pPr>
            <w:r>
              <w:rPr>
                <w:rFonts w:ascii="Arial" w:hAnsi="Arial"/>
                <w:color w:val="111827"/>
                <w:sz w:val="22"/>
              </w:rPr>
              <w:t xml:space="preserve">Once fibers reach rivers, lakes, or oceans, some float, some remain suspended, some wash ashore, and others settle into sediment. Small organisms may swallow fibers directly or ingest them while feeding, and larger animals may then eat those organisms. This creates possible movement through a food web, although not every fiber follows the same path or stays in an animal.  </w:t>
            </w:r>
            <w:hyperlink r:id="rId10">
              <w:r>
                <w:rPr>
                  <w:rFonts w:ascii="Arial" w:hAnsi="Arial"/>
                  <w:color w:val="2166A5"/>
                  <w:u w:val="single"/>
                  <w:sz w:val="22"/>
                  <w:szCs w:val="22"/>
                </w:rPr>
                <w:t>NOAA evidence</w:t>
              </w:r>
            </w:hyperlink>
          </w:p>
        </w:tc>
      </w:tr>
      <w:tr>
        <w:trPr>
          <w:cantSplit/>
        </w:trPr>
        <w:tc>
          <w:tcPr>
            <w:tcW w:type="dxa" w:w="4968"/>
            <w:shd w:fill="F3E8FF"/>
            <w:tcBorders>
              <w:top w:val="single" w:sz="10" w:color="6D28D9"/>
              <w:left w:val="single" w:sz="10" w:color="6D28D9"/>
              <w:bottom w:val="single" w:sz="10" w:color="6D28D9"/>
              <w:right w:val="single" w:sz="10" w:color="6D28D9"/>
            </w:tcBorders>
            <w:tcMar>
              <w:top w:w="105" w:type="dxa"/>
              <w:start w:w="120" w:type="dxa"/>
              <w:bottom w:w="105" w:type="dxa"/>
              <w:end w:w="120" w:type="dxa"/>
            </w:tcMar>
            <w:vAlign w:val="center"/>
          </w:tcPr>
          <w:p>
            <w:pPr>
              <w:spacing w:after="0"/>
            </w:pPr>
            <w:r>
              <w:rPr>
                <w:rFonts w:ascii="Arial" w:hAnsi="Arial"/>
                <w:b/>
                <w:i w:val="0"/>
                <w:color w:val="6D28D9"/>
                <w:sz w:val="19"/>
              </w:rPr>
              <w:t>6  EVIDENCE LIMIT</w:t>
            </w:r>
          </w:p>
        </w:tc>
        <w:tc>
          <w:tcPr>
            <w:tcW w:type="dxa" w:w="4968"/>
            <w:shd w:fill="FFFFFF"/>
            <w:tcBorders>
              <w:top w:val="single" w:sz="6" w:color="CBD5E1"/>
              <w:left w:val="single" w:sz="6" w:color="CBD5E1"/>
              <w:bottom w:val="single" w:sz="6" w:color="CBD5E1"/>
              <w:right w:val="single" w:sz="6" w:color="CBD5E1"/>
            </w:tcBorders>
            <w:tcMar>
              <w:top w:w="105" w:type="dxa"/>
              <w:start w:w="140" w:type="dxa"/>
              <w:bottom w:w="105" w:type="dxa"/>
              <w:end w:w="140" w:type="dxa"/>
            </w:tcMar>
            <w:vAlign w:val="center"/>
          </w:tcPr>
          <w:p>
            <w:pPr>
              <w:keepLines/>
              <w:spacing w:after="80" w:before="80" w:line="259" w:lineRule="auto"/>
            </w:pPr>
            <w:r>
              <w:rPr>
                <w:rFonts w:ascii="Arial" w:hAnsi="Arial"/>
                <w:color w:val="111827"/>
                <w:sz w:val="22"/>
              </w:rPr>
              <w:t xml:space="preserve">Scientists have reported microplastics in air, water, seafood, and other foods, so their presence documents routes of human exposure. Detection alone does not tell us the dose, duration, particle chemistry, or biological response, and therefore cannot by itself prove a specific health effect. FDA and WHO continue to assess the evidence and identify research gaps.  </w:t>
            </w:r>
            <w:hyperlink r:id="rId13">
              <w:r>
                <w:rPr>
                  <w:rFonts w:ascii="Arial" w:hAnsi="Arial"/>
                  <w:color w:val="2166A5"/>
                  <w:u w:val="single"/>
                  <w:sz w:val="22"/>
                  <w:szCs w:val="22"/>
                </w:rPr>
                <w:t>FDA evidence</w:t>
              </w:r>
            </w:hyperlink>
            <w:r>
              <w:rPr>
                <w:rFonts w:ascii="Arial" w:hAnsi="Arial"/>
                <w:sz w:val="22"/>
              </w:rPr>
              <w:t xml:space="preserve"> + </w:t>
            </w:r>
            <w:hyperlink r:id="rId16">
              <w:r>
                <w:rPr>
                  <w:rFonts w:ascii="Arial" w:hAnsi="Arial"/>
                  <w:color w:val="2166A5"/>
                  <w:u w:val="single"/>
                  <w:sz w:val="22"/>
                  <w:szCs w:val="22"/>
                </w:rPr>
                <w:t>WHO review</w:t>
              </w:r>
            </w:hyperlink>
          </w:p>
        </w:tc>
      </w:tr>
      <w:tr>
        <w:trPr>
          <w:cantSplit/>
        </w:trPr>
        <w:tc>
          <w:tcPr>
            <w:tcW w:type="dxa" w:w="4968"/>
            <w:shd w:fill="FFF4E5"/>
            <w:tcBorders>
              <w:top w:val="single" w:sz="10" w:color="B45309"/>
              <w:left w:val="single" w:sz="10" w:color="B45309"/>
              <w:bottom w:val="single" w:sz="10" w:color="B45309"/>
              <w:right w:val="single" w:sz="10" w:color="B45309"/>
            </w:tcBorders>
            <w:tcMar>
              <w:top w:w="105" w:type="dxa"/>
              <w:start w:w="120" w:type="dxa"/>
              <w:bottom w:w="105" w:type="dxa"/>
              <w:end w:w="120" w:type="dxa"/>
            </w:tcMar>
            <w:vAlign w:val="center"/>
          </w:tcPr>
          <w:p>
            <w:pPr>
              <w:spacing w:after="0"/>
            </w:pPr>
            <w:r>
              <w:rPr>
                <w:rFonts w:ascii="Arial" w:hAnsi="Arial"/>
                <w:b/>
                <w:i w:val="0"/>
                <w:color w:val="B45309"/>
                <w:sz w:val="19"/>
              </w:rPr>
              <w:t>7  SYSTEM CHANGE</w:t>
            </w:r>
          </w:p>
        </w:tc>
        <w:tc>
          <w:tcPr>
            <w:tcW w:type="dxa" w:w="4968"/>
            <w:shd w:fill="FFFFFF"/>
            <w:tcBorders>
              <w:top w:val="single" w:sz="6" w:color="CBD5E1"/>
              <w:left w:val="single" w:sz="6" w:color="CBD5E1"/>
              <w:bottom w:val="single" w:sz="6" w:color="CBD5E1"/>
              <w:right w:val="single" w:sz="6" w:color="CBD5E1"/>
            </w:tcBorders>
            <w:tcMar>
              <w:top w:w="105" w:type="dxa"/>
              <w:start w:w="140" w:type="dxa"/>
              <w:bottom w:w="105" w:type="dxa"/>
              <w:end w:w="140" w:type="dxa"/>
            </w:tcMar>
            <w:vAlign w:val="center"/>
          </w:tcPr>
          <w:p>
            <w:pPr>
              <w:keepLines/>
              <w:spacing w:after="80" w:before="80" w:line="259" w:lineRule="auto"/>
            </w:pPr>
            <w:r>
              <w:rPr>
                <w:rFonts w:ascii="Arial" w:hAnsi="Arial"/>
                <w:color w:val="111827"/>
                <w:sz w:val="22"/>
              </w:rPr>
              <w:t xml:space="preserve">Microfiber pollution is shaped before a garment reaches a household: material selection, fabric construction, production volume, labor conditions, product durability, and wastewater infrastructure all influence what is released and who bears the consequences. Repair and reuse can help, but families cannot solve an industrial system through purchasing choices alone. Companies, institutions, governments, and communities share responsibility for structural change.  </w:t>
            </w:r>
            <w:hyperlink r:id="rId14">
              <w:r>
                <w:rPr>
                  <w:rFonts w:ascii="Arial" w:hAnsi="Arial"/>
                  <w:color w:val="2166A5"/>
                  <w:u w:val="single"/>
                  <w:sz w:val="22"/>
                  <w:szCs w:val="22"/>
                </w:rPr>
                <w:t>UNEP evidence</w:t>
              </w:r>
            </w:hyperlink>
          </w:p>
        </w:tc>
      </w:tr>
    </w:tbl>
    <w:p>
      <w:pPr>
        <w:pStyle w:val="Heading1"/>
        <w:keepNext/>
        <w:widowControl/>
      </w:pPr>
      <w:r>
        <w:rPr>
          <w:rFonts w:ascii="Arial" w:hAnsi="Arial"/>
          <w:b/>
          <w:i w:val="0"/>
          <w:color w:val="0F172A"/>
          <w:sz w:val="32"/>
        </w:rPr>
        <w:t>See The Whole Path</w:t>
      </w:r>
    </w:p>
    <w:p>
      <w:pPr>
        <w:keepNext/>
        <w:widowControl/>
        <w:jc w:val="center"/>
      </w:pPr>
      <w:r>
        <w:drawing>
          <wp:inline xmlns:a="http://schemas.openxmlformats.org/drawingml/2006/main" xmlns:pic="http://schemas.openxmlformats.org/drawingml/2006/picture">
            <wp:extent cx="5943600" cy="3343275"/>
            <wp:docPr id="1" name="Picture 1" title="Fiber Fighters causal pathway" descr="Seven-step pathway from synthetic clothing through wear, washing, wastewater, treatment, waterways, organism ingestion, and possible human exposure. A caution states that detecting microplastics in food does not by itself prove a health effect."/>
            <wp:cNvGraphicFramePr>
              <a:graphicFrameLocks noChangeAspect="1"/>
            </wp:cNvGraphicFramePr>
            <a:graphic>
              <a:graphicData uri="http://schemas.openxmlformats.org/drawingml/2006/picture">
                <pic:pic>
                  <pic:nvPicPr>
                    <pic:cNvPr id="0" name="fiber-fighters-causal-chain.png"/>
                    <pic:cNvPicPr/>
                  </pic:nvPicPr>
                  <pic:blipFill>
                    <a:blip r:embed="rId15"/>
                    <a:stretch>
                      <a:fillRect/>
                    </a:stretch>
                  </pic:blipFill>
                  <pic:spPr>
                    <a:xfrm>
                      <a:off x="0" y="0"/>
                      <a:ext cx="5943600" cy="3343275"/>
                    </a:xfrm>
                    <a:prstGeom prst="rect"/>
                  </pic:spPr>
                </pic:pic>
              </a:graphicData>
            </a:graphic>
          </wp:inline>
        </w:drawing>
      </w:r>
    </w:p>
    <w:p>
      <w:pPr>
        <w:widowControl/>
        <w:spacing w:after="160"/>
        <w:jc w:val="center"/>
      </w:pPr>
      <w:r>
        <w:rPr>
          <w:rFonts w:ascii="Arial" w:hAnsi="Arial"/>
          <w:b w:val="0"/>
          <w:i/>
          <w:color w:val="475569"/>
          <w:sz w:val="18"/>
        </w:rPr>
        <w:t xml:space="preserve">Figure 1. Evidence-based pathway. </w:t>
      </w:r>
      <w:hyperlink r:id="rId10">
        <w:r>
          <w:rPr>
            <w:color w:val="2563A6"/>
            <w:u w:val="single"/>
            <w:rFonts w:ascii="Arial" w:hAnsi="Arial"/>
            <w:sz w:val="21"/>
          </w:rPr>
          <w:t>NOAA</w:t>
        </w:r>
      </w:hyperlink>
      <w:r>
        <w:rPr>
          <w:rFonts w:ascii="Arial" w:hAnsi="Arial"/>
          <w:b w:val="0"/>
          <w:i w:val="0"/>
          <w:color w:val="475569"/>
          <w:sz w:val="18"/>
        </w:rPr>
        <w:t xml:space="preserve"> | </w:t>
      </w:r>
      <w:hyperlink r:id="rId11">
        <w:r>
          <w:rPr>
            <w:color w:val="2563A6"/>
            <w:u w:val="single"/>
            <w:rFonts w:ascii="Arial" w:hAnsi="Arial"/>
            <w:sz w:val="21"/>
          </w:rPr>
          <w:t>EPA</w:t>
        </w:r>
      </w:hyperlink>
      <w:r>
        <w:rPr>
          <w:rFonts w:ascii="Arial" w:hAnsi="Arial"/>
          <w:b w:val="0"/>
          <w:i w:val="0"/>
          <w:color w:val="475569"/>
          <w:sz w:val="18"/>
        </w:rPr>
        <w:t xml:space="preserve"> | </w:t>
      </w:r>
      <w:hyperlink r:id="rId13">
        <w:r>
          <w:rPr>
            <w:color w:val="2563A6"/>
            <w:u w:val="single"/>
            <w:rFonts w:ascii="Arial" w:hAnsi="Arial"/>
            <w:sz w:val="21"/>
          </w:rPr>
          <w:t>FDA</w:t>
        </w:r>
      </w:hyperlink>
      <w:r>
        <w:rPr>
          <w:rFonts w:ascii="Arial" w:hAnsi="Arial"/>
          <w:b w:val="0"/>
          <w:i w:val="0"/>
          <w:color w:val="475569"/>
          <w:sz w:val="18"/>
        </w:rPr>
        <w:t xml:space="preserve"> | </w:t>
      </w:r>
      <w:hyperlink r:id="rId16">
        <w:r>
          <w:rPr>
            <w:color w:val="2563A6"/>
            <w:u w:val="single"/>
            <w:rFonts w:ascii="Arial" w:hAnsi="Arial"/>
            <w:sz w:val="21"/>
          </w:rPr>
          <w:t>WHO</w:t>
        </w:r>
      </w:hyperlink>
    </w:p>
    <w:tbl>
      <w:tblPr>
        <w:tblW w:type="auto" w:w="0"/>
        <w:jc w:val="center"/>
        <w:tblLayout w:type="fixed"/>
        <w:tblLook w:firstColumn="1" w:firstRow="1" w:lastColumn="0" w:lastRow="0" w:noHBand="0" w:noVBand="1" w:val="04A0"/>
      </w:tblPr>
      <w:tblGrid>
        <w:gridCol w:w="9936"/>
      </w:tblGrid>
      <w:tr>
        <w:tc>
          <w:tcPr>
            <w:tcW w:type="dxa" w:w="9360"/>
            <w:shd w:fill="F3E8FF"/>
            <w:tcBorders>
              <w:top w:val="single" w:sz="12" w:color="6D28D9"/>
              <w:left w:val="single" w:sz="12" w:color="6D28D9"/>
              <w:bottom w:val="single" w:sz="12" w:color="6D28D9"/>
              <w:right w:val="single" w:sz="12" w:color="6D28D9"/>
            </w:tcBorders>
            <w:tcMar>
              <w:top w:w="150" w:type="dxa"/>
              <w:start w:w="180" w:type="dxa"/>
              <w:bottom w:w="150" w:type="dxa"/>
              <w:end w:w="180" w:type="dxa"/>
            </w:tcMar>
          </w:tcPr>
          <w:p>
            <w:pPr>
              <w:spacing w:after="0"/>
            </w:pPr>
            <w:r>
              <w:rPr>
                <w:rFonts w:ascii="Arial" w:hAnsi="Arial"/>
                <w:b/>
                <w:i w:val="0"/>
                <w:color w:val="6D28D9"/>
                <w:sz w:val="20"/>
              </w:rPr>
              <w:t>OUR GAPLESS CLAIM</w:t>
              <w:br/>
            </w:r>
            <w:r>
              <w:rPr>
                <w:rFonts w:ascii="Arial" w:hAnsi="Arial"/>
                <w:b/>
                <w:i w:val="0"/>
                <w:color w:val="0F172A"/>
                <w:sz w:val="25"/>
              </w:rPr>
              <w:t>Synthetic clothing is plastic. Friction releases tiny fibers. Water, air, and waste systems move them. Wildlife may ingest them, and people may encounter them. Industry design and unequal power shape the problem, so solutions must include structural change as well as personal creativity.</w:t>
            </w:r>
          </w:p>
        </w:tc>
        <w:trPr>
          <w:tblHeader/>
        </w:trPr>
      </w:tr>
    </w:tbl>
    <w:p>
      <w:pPr>
        <w:pStyle w:val="Heading2"/>
        <w:keepNext/>
        <w:widowControl/>
      </w:pPr>
      <w:r>
        <w:rPr>
          <w:rFonts w:ascii="Arial" w:hAnsi="Arial"/>
          <w:b/>
          <w:i w:val="0"/>
          <w:color w:val="6D28D9"/>
          <w:sz w:val="26"/>
        </w:rPr>
        <w:t>What We Will Not Claim</w:t>
      </w:r>
    </w:p>
    <w:p>
      <w:pPr>
        <w:pStyle w:val="ListBullet"/>
        <w:widowControl/>
        <w:spacing w:after="80"/>
      </w:pPr>
      <w:r>
        <w:rPr>
          <w:rFonts w:ascii="Arial" w:hAnsi="Arial"/>
          <w:b/>
          <w:i w:val="0"/>
          <w:color w:val="6D28D9"/>
          <w:sz w:val="22"/>
        </w:rPr>
        <w:t xml:space="preserve">Possible is not automatic. </w:t>
      </w:r>
      <w:r>
        <w:rPr>
          <w:rFonts w:ascii="Arial" w:hAnsi="Arial"/>
          <w:b w:val="0"/>
          <w:i w:val="0"/>
          <w:color w:val="0F172A"/>
          <w:sz w:val="22"/>
        </w:rPr>
        <w:t>Not every fiber completes every step.</w:t>
      </w:r>
    </w:p>
    <w:p>
      <w:pPr>
        <w:pStyle w:val="ListBullet"/>
        <w:widowControl/>
        <w:spacing w:after="80"/>
      </w:pPr>
      <w:r>
        <w:rPr>
          <w:rFonts w:ascii="Arial" w:hAnsi="Arial"/>
          <w:b/>
          <w:i w:val="0"/>
          <w:color w:val="6D28D9"/>
          <w:sz w:val="22"/>
        </w:rPr>
        <w:t xml:space="preserve">Detected is not proven harmful. </w:t>
      </w:r>
      <w:r>
        <w:rPr>
          <w:rFonts w:ascii="Arial" w:hAnsi="Arial"/>
          <w:b w:val="0"/>
          <w:i w:val="0"/>
          <w:color w:val="0F172A"/>
          <w:sz w:val="22"/>
        </w:rPr>
        <w:t>Exposure evidence is not health-risk evidence.</w:t>
      </w:r>
    </w:p>
    <w:p>
      <w:pPr>
        <w:pStyle w:val="ListBullet"/>
        <w:widowControl/>
        <w:spacing w:after="80"/>
      </w:pPr>
      <w:r>
        <w:rPr>
          <w:rFonts w:ascii="Arial" w:hAnsi="Arial"/>
          <w:b/>
          <w:i w:val="0"/>
          <w:color w:val="6D28D9"/>
          <w:sz w:val="22"/>
        </w:rPr>
        <w:t xml:space="preserve">People are not the whole problem. </w:t>
      </w:r>
      <w:r>
        <w:rPr>
          <w:rFonts w:ascii="Arial" w:hAnsi="Arial"/>
          <w:b w:val="0"/>
          <w:i w:val="0"/>
          <w:color w:val="0F172A"/>
          <w:sz w:val="22"/>
        </w:rPr>
        <w:t>Individual purchasing cannot replace industry, infrastructure, and policy change.</w:t>
      </w:r>
    </w:p>
    <w:p>
      <w:pPr>
        <w:pStyle w:val="Heading1"/>
        <w:keepNext/>
        <w:widowControl/>
      </w:pPr>
      <w:r>
        <w:rPr>
          <w:rFonts w:ascii="Arial" w:hAnsi="Arial"/>
          <w:b/>
          <w:i w:val="0"/>
          <w:color w:val="6D28D9"/>
          <w:sz w:val="32"/>
        </w:rPr>
        <w:t>Inclusion Changes The Design</w:t>
      </w:r>
    </w:p>
    <w:p>
      <w:pPr>
        <w:widowControl/>
      </w:pPr>
      <w:r>
        <w:rPr>
          <w:rFonts w:ascii="Arial" w:hAnsi="Arial"/>
          <w:b w:val="0"/>
          <w:i w:val="0"/>
          <w:color w:val="0F172A"/>
          <w:sz w:val="22"/>
        </w:rPr>
        <w:t xml:space="preserve">Neurodivergent, chronically ill, disabled, multilingual, culturally diverse, and multiply identified campers should not have to overcome the activity before they can do the science. </w:t>
      </w:r>
      <w:hyperlink r:id="rId17">
        <w:r>
          <w:rPr>
            <w:color w:val="2563A6"/>
            <w:u w:val="single"/>
            <w:b/>
            <w:rFonts w:ascii="Arial" w:hAnsi="Arial"/>
            <w:sz w:val="21"/>
          </w:rPr>
          <w:t>CAST UDL Guidelines 3.0</w:t>
        </w:r>
      </w:hyperlink>
      <w:r>
        <w:rPr>
          <w:rFonts w:ascii="Arial" w:hAnsi="Arial"/>
          <w:b w:val="0"/>
          <w:i w:val="0"/>
          <w:color w:val="0F172A"/>
          <w:sz w:val="22"/>
        </w:rPr>
        <w:t xml:space="preserve"> emphasizes multiple and intersecting identities, multiple media, accessible tools, learner choice, belonging, and challenging exclusionary practices.</w:t>
      </w:r>
    </w:p>
    <w:p>
      <w:pPr>
        <w:keepNext/>
        <w:widowControl/>
        <w:jc w:val="center"/>
      </w:pPr>
      <w:r>
        <w:drawing>
          <wp:inline xmlns:a="http://schemas.openxmlformats.org/drawingml/2006/main" xmlns:pic="http://schemas.openxmlformats.org/drawingml/2006/picture">
            <wp:extent cx="5943600" cy="3343275"/>
            <wp:docPr id="2" name="Picture 2" title="Fiber Fighters access pathways" descr="Four flexible routes into one rigorous science goal: noticing evidence, recording evidence, making meaning, and contributing through sustainable roles. Access choices include microscope or camera, drawing or audio, home language, quiet partners, seated roles, and breaks."/>
            <wp:cNvGraphicFramePr>
              <a:graphicFrameLocks noChangeAspect="1"/>
            </wp:cNvGraphicFramePr>
            <a:graphic>
              <a:graphicData uri="http://schemas.openxmlformats.org/drawingml/2006/picture">
                <pic:pic>
                  <pic:nvPicPr>
                    <pic:cNvPr id="0" name="fiber-fighters-access-pathways.png"/>
                    <pic:cNvPicPr/>
                  </pic:nvPicPr>
                  <pic:blipFill>
                    <a:blip r:embed="rId18"/>
                    <a:stretch>
                      <a:fillRect/>
                    </a:stretch>
                  </pic:blipFill>
                  <pic:spPr>
                    <a:xfrm>
                      <a:off x="0" y="0"/>
                      <a:ext cx="5943600" cy="3343275"/>
                    </a:xfrm>
                    <a:prstGeom prst="rect"/>
                  </pic:spPr>
                </pic:pic>
              </a:graphicData>
            </a:graphic>
          </wp:inline>
        </w:drawing>
      </w:r>
    </w:p>
    <w:p>
      <w:pPr>
        <w:widowControl/>
        <w:spacing w:after="160"/>
        <w:jc w:val="center"/>
      </w:pPr>
      <w:r>
        <w:rPr>
          <w:rFonts w:ascii="Arial" w:hAnsi="Arial"/>
          <w:b w:val="0"/>
          <w:i/>
          <w:color w:val="475569"/>
          <w:sz w:val="18"/>
        </w:rPr>
        <w:t xml:space="preserve">Figure 2. Same science goal, multiple ways in. </w:t>
      </w:r>
      <w:hyperlink r:id="rId17">
        <w:r>
          <w:rPr>
            <w:color w:val="2563A6"/>
            <w:u w:val="single"/>
            <w:rFonts w:ascii="Arial" w:hAnsi="Arial"/>
            <w:sz w:val="21"/>
          </w:rPr>
          <w:t>CAST UDL Guidelines 3.0</w:t>
        </w:r>
      </w:hyperlink>
    </w:p>
    <w:p>
      <w:pPr>
        <w:pStyle w:val="Heading2"/>
        <w:keepNext/>
        <w:widowControl/>
      </w:pPr>
      <w:r>
        <w:rPr>
          <w:rFonts w:ascii="Arial" w:hAnsi="Arial"/>
          <w:b/>
          <w:i w:val="0"/>
          <w:color w:val="6D28D9"/>
          <w:sz w:val="26"/>
        </w:rPr>
        <w:t>Access Moves That Protect Rigor</w:t>
      </w:r>
    </w:p>
    <w:tbl>
      <w:tblPr>
        <w:tblW w:type="auto" w:w="0"/>
        <w:jc w:val="center"/>
        <w:tblLayout w:type="fixed"/>
        <w:tblLook w:firstColumn="1" w:firstRow="1" w:lastColumn="0" w:lastRow="0" w:noHBand="0" w:noVBand="1" w:val="04A0"/>
      </w:tblPr>
      <w:tblGrid>
        <w:gridCol w:w="3312"/>
        <w:gridCol w:w="3312"/>
        <w:gridCol w:w="3312"/>
      </w:tblGrid>
      <w:tr>
        <w:tc>
          <w:tcPr>
            <w:tcW w:type="dxa" w:w="2376"/>
            <w:shd w:fill="F3E8FF"/>
            <w:tcBorders>
              <w:top w:val="single" w:sz="8" w:color="6D28D9"/>
              <w:left w:val="single" w:sz="8" w:color="6D28D9"/>
              <w:bottom w:val="single" w:sz="8" w:color="6D28D9"/>
              <w:right w:val="single" w:sz="8" w:color="6D28D9"/>
            </w:tcBorders>
            <w:tcMar>
              <w:top w:w="100" w:type="dxa"/>
              <w:start w:w="110" w:type="dxa"/>
              <w:bottom w:w="100" w:type="dxa"/>
              <w:end w:w="110" w:type="dxa"/>
            </w:tcMar>
          </w:tcPr>
          <w:p>
            <w:pPr>
              <w:spacing w:after="0"/>
            </w:pPr>
            <w:r>
              <w:rPr>
                <w:rFonts w:ascii="Arial" w:hAnsi="Arial"/>
                <w:b/>
                <w:i w:val="0"/>
                <w:color w:val="6D28D9"/>
                <w:sz w:val="19"/>
              </w:rPr>
              <w:t>BARRIER</w:t>
            </w:r>
          </w:p>
        </w:tc>
        <w:tc>
          <w:tcPr>
            <w:tcW w:type="dxa" w:w="3816"/>
            <w:shd w:fill="F3E8FF"/>
            <w:tcBorders>
              <w:top w:val="single" w:sz="8" w:color="6D28D9"/>
              <w:left w:val="single" w:sz="8" w:color="6D28D9"/>
              <w:bottom w:val="single" w:sz="8" w:color="6D28D9"/>
              <w:right w:val="single" w:sz="8" w:color="6D28D9"/>
            </w:tcBorders>
            <w:tcMar>
              <w:top w:w="100" w:type="dxa"/>
              <w:start w:w="110" w:type="dxa"/>
              <w:bottom w:w="100" w:type="dxa"/>
              <w:end w:w="110" w:type="dxa"/>
            </w:tcMar>
          </w:tcPr>
          <w:p>
            <w:pPr>
              <w:spacing w:after="0"/>
            </w:pPr>
            <w:r>
              <w:rPr>
                <w:rFonts w:ascii="Arial" w:hAnsi="Arial"/>
                <w:b/>
                <w:i w:val="0"/>
                <w:color w:val="6D28D9"/>
                <w:sz w:val="19"/>
              </w:rPr>
              <w:t>DESIGN MOVE</w:t>
            </w:r>
          </w:p>
        </w:tc>
        <w:tc>
          <w:tcPr>
            <w:tcW w:type="dxa" w:w="3168"/>
            <w:shd w:fill="F3E8FF"/>
            <w:tcBorders>
              <w:top w:val="single" w:sz="8" w:color="6D28D9"/>
              <w:left w:val="single" w:sz="8" w:color="6D28D9"/>
              <w:bottom w:val="single" w:sz="8" w:color="6D28D9"/>
              <w:right w:val="single" w:sz="8" w:color="6D28D9"/>
            </w:tcBorders>
            <w:tcMar>
              <w:top w:w="100" w:type="dxa"/>
              <w:start w:w="110" w:type="dxa"/>
              <w:bottom w:w="100" w:type="dxa"/>
              <w:end w:w="110" w:type="dxa"/>
            </w:tcMar>
          </w:tcPr>
          <w:p>
            <w:pPr>
              <w:spacing w:after="0"/>
            </w:pPr>
            <w:r>
              <w:rPr>
                <w:rFonts w:ascii="Arial" w:hAnsi="Arial"/>
                <w:b/>
                <w:i w:val="0"/>
                <w:color w:val="6D28D9"/>
                <w:sz w:val="19"/>
              </w:rPr>
              <w:t>RIGOR PROTECTED</w:t>
            </w:r>
          </w:p>
        </w:tc>
        <w:trPr>
          <w:tblHeader/>
        </w:trPr>
      </w:tr>
      <w:tr>
        <w:tc>
          <w:tcPr>
            <w:tcW w:type="dxa" w:w="3312"/>
            <w:tcBorders>
              <w:top w:val="single" w:sz="6" w:color="CBD5E1"/>
              <w:left w:val="single" w:sz="6" w:color="CBD5E1"/>
              <w:bottom w:val="single" w:sz="6" w:color="CBD5E1"/>
              <w:right w:val="single" w:sz="6" w:color="CBD5E1"/>
            </w:tcBorders>
            <w:tcMar>
              <w:top w:w="95" w:type="dxa"/>
              <w:start w:w="110" w:type="dxa"/>
              <w:bottom w:w="95" w:type="dxa"/>
              <w:end w:w="110" w:type="dxa"/>
            </w:tcMar>
          </w:tcPr>
          <w:p>
            <w:pPr>
              <w:spacing w:after="0"/>
            </w:pPr>
            <w:r>
              <w:rPr>
                <w:rFonts w:ascii="Arial" w:hAnsi="Arial"/>
                <w:b/>
                <w:i w:val="0"/>
                <w:color w:val="0F172A"/>
                <w:sz w:val="19"/>
              </w:rPr>
              <w:t>Speech or English dominance</w:t>
            </w:r>
          </w:p>
        </w:tc>
        <w:tc>
          <w:tcPr>
            <w:tcW w:type="dxa" w:w="3312"/>
            <w:tcBorders>
              <w:top w:val="single" w:sz="6" w:color="CBD5E1"/>
              <w:left w:val="single" w:sz="6" w:color="CBD5E1"/>
              <w:bottom w:val="single" w:sz="6" w:color="CBD5E1"/>
              <w:right w:val="single" w:sz="6" w:color="CBD5E1"/>
            </w:tcBorders>
            <w:tcMar>
              <w:top w:w="95" w:type="dxa"/>
              <w:start w:w="110" w:type="dxa"/>
              <w:bottom w:w="95" w:type="dxa"/>
              <w:end w:w="110" w:type="dxa"/>
            </w:tcMar>
          </w:tcPr>
          <w:p>
            <w:pPr>
              <w:spacing w:after="0"/>
            </w:pPr>
            <w:r>
              <w:rPr>
                <w:rFonts w:ascii="Arial" w:hAnsi="Arial"/>
                <w:b w:val="0"/>
                <w:i w:val="0"/>
                <w:color w:val="0F172A"/>
                <w:sz w:val="19"/>
              </w:rPr>
              <w:t>Speech, chat, drawing, audio, home language, quiet partner</w:t>
            </w:r>
          </w:p>
        </w:tc>
        <w:tc>
          <w:tcPr>
            <w:tcW w:type="dxa" w:w="3312"/>
            <w:tcBorders>
              <w:top w:val="single" w:sz="6" w:color="CBD5E1"/>
              <w:left w:val="single" w:sz="6" w:color="CBD5E1"/>
              <w:bottom w:val="single" w:sz="6" w:color="CBD5E1"/>
              <w:right w:val="single" w:sz="6" w:color="CBD5E1"/>
            </w:tcBorders>
            <w:tcMar>
              <w:top w:w="95" w:type="dxa"/>
              <w:start w:w="110" w:type="dxa"/>
              <w:bottom w:w="95" w:type="dxa"/>
              <w:end w:w="110" w:type="dxa"/>
            </w:tcMar>
          </w:tcPr>
          <w:p>
            <w:pPr>
              <w:spacing w:after="0"/>
            </w:pPr>
            <w:r>
              <w:rPr>
                <w:rFonts w:ascii="Arial" w:hAnsi="Arial"/>
                <w:b w:val="0"/>
                <w:i w:val="0"/>
                <w:color w:val="0F172A"/>
                <w:sz w:val="19"/>
              </w:rPr>
              <w:t>Explain causes and revise a model</w:t>
            </w:r>
          </w:p>
        </w:tc>
      </w:tr>
      <w:tr>
        <w:tc>
          <w:tcPr>
            <w:tcW w:type="dxa" w:w="3312"/>
            <w:tcBorders>
              <w:top w:val="single" w:sz="6" w:color="CBD5E1"/>
              <w:left w:val="single" w:sz="6" w:color="CBD5E1"/>
              <w:bottom w:val="single" w:sz="6" w:color="CBD5E1"/>
              <w:right w:val="single" w:sz="6" w:color="CBD5E1"/>
            </w:tcBorders>
            <w:tcMar>
              <w:top w:w="95" w:type="dxa"/>
              <w:start w:w="110" w:type="dxa"/>
              <w:bottom w:w="95" w:type="dxa"/>
              <w:end w:w="110" w:type="dxa"/>
            </w:tcMar>
          </w:tcPr>
          <w:p>
            <w:pPr>
              <w:spacing w:after="0"/>
            </w:pPr>
            <w:r>
              <w:rPr>
                <w:rFonts w:ascii="Arial" w:hAnsi="Arial"/>
                <w:b/>
                <w:i w:val="0"/>
                <w:color w:val="0F172A"/>
                <w:sz w:val="19"/>
              </w:rPr>
              <w:t>Pain, fatigue, mobility, standing</w:t>
            </w:r>
          </w:p>
        </w:tc>
        <w:tc>
          <w:tcPr>
            <w:tcW w:type="dxa" w:w="3312"/>
            <w:tcBorders>
              <w:top w:val="single" w:sz="6" w:color="CBD5E1"/>
              <w:left w:val="single" w:sz="6" w:color="CBD5E1"/>
              <w:bottom w:val="single" w:sz="6" w:color="CBD5E1"/>
              <w:right w:val="single" w:sz="6" w:color="CBD5E1"/>
            </w:tcBorders>
            <w:tcMar>
              <w:top w:w="95" w:type="dxa"/>
              <w:start w:w="110" w:type="dxa"/>
              <w:bottom w:w="95" w:type="dxa"/>
              <w:end w:w="110" w:type="dxa"/>
            </w:tcMar>
          </w:tcPr>
          <w:p>
            <w:pPr>
              <w:spacing w:after="0"/>
            </w:pPr>
            <w:r>
              <w:rPr>
                <w:rFonts w:ascii="Arial" w:hAnsi="Arial"/>
                <w:b w:val="0"/>
                <w:i w:val="0"/>
                <w:color w:val="0F172A"/>
                <w:sz w:val="19"/>
              </w:rPr>
              <w:t>Seated/low-energy roles, breaks, role changes, reachable materials</w:t>
            </w:r>
          </w:p>
        </w:tc>
        <w:tc>
          <w:tcPr>
            <w:tcW w:type="dxa" w:w="3312"/>
            <w:tcBorders>
              <w:top w:val="single" w:sz="6" w:color="CBD5E1"/>
              <w:left w:val="single" w:sz="6" w:color="CBD5E1"/>
              <w:bottom w:val="single" w:sz="6" w:color="CBD5E1"/>
              <w:right w:val="single" w:sz="6" w:color="CBD5E1"/>
            </w:tcBorders>
            <w:tcMar>
              <w:top w:w="95" w:type="dxa"/>
              <w:start w:w="110" w:type="dxa"/>
              <w:bottom w:w="95" w:type="dxa"/>
              <w:end w:w="110" w:type="dxa"/>
            </w:tcMar>
          </w:tcPr>
          <w:p>
            <w:pPr>
              <w:spacing w:after="0"/>
            </w:pPr>
            <w:r>
              <w:rPr>
                <w:rFonts w:ascii="Arial" w:hAnsi="Arial"/>
                <w:b w:val="0"/>
                <w:i w:val="0"/>
                <w:color w:val="0F172A"/>
                <w:sz w:val="19"/>
              </w:rPr>
              <w:t>Handle, tally, or interpret evidence</w:t>
            </w:r>
          </w:p>
        </w:tc>
      </w:tr>
      <w:tr>
        <w:tc>
          <w:tcPr>
            <w:tcW w:type="dxa" w:w="3312"/>
            <w:tcBorders>
              <w:top w:val="single" w:sz="6" w:color="CBD5E1"/>
              <w:left w:val="single" w:sz="6" w:color="CBD5E1"/>
              <w:bottom w:val="single" w:sz="6" w:color="CBD5E1"/>
              <w:right w:val="single" w:sz="6" w:color="CBD5E1"/>
            </w:tcBorders>
            <w:tcMar>
              <w:top w:w="95" w:type="dxa"/>
              <w:start w:w="110" w:type="dxa"/>
              <w:bottom w:w="95" w:type="dxa"/>
              <w:end w:w="110" w:type="dxa"/>
            </w:tcMar>
          </w:tcPr>
          <w:p>
            <w:pPr>
              <w:spacing w:after="0"/>
            </w:pPr>
            <w:r>
              <w:rPr>
                <w:rFonts w:ascii="Arial" w:hAnsi="Arial"/>
                <w:b/>
                <w:i w:val="0"/>
                <w:color w:val="0F172A"/>
                <w:sz w:val="19"/>
              </w:rPr>
              <w:t>Sensory load or attention shifts</w:t>
            </w:r>
          </w:p>
        </w:tc>
        <w:tc>
          <w:tcPr>
            <w:tcW w:type="dxa" w:w="3312"/>
            <w:tcBorders>
              <w:top w:val="single" w:sz="6" w:color="CBD5E1"/>
              <w:left w:val="single" w:sz="6" w:color="CBD5E1"/>
              <w:bottom w:val="single" w:sz="6" w:color="CBD5E1"/>
              <w:right w:val="single" w:sz="6" w:color="CBD5E1"/>
            </w:tcBorders>
            <w:tcMar>
              <w:top w:w="95" w:type="dxa"/>
              <w:start w:w="110" w:type="dxa"/>
              <w:bottom w:w="95" w:type="dxa"/>
              <w:end w:w="110" w:type="dxa"/>
            </w:tcMar>
          </w:tcPr>
          <w:p>
            <w:pPr>
              <w:spacing w:after="0"/>
            </w:pPr>
            <w:r>
              <w:rPr>
                <w:rFonts w:ascii="Arial" w:hAnsi="Arial"/>
                <w:b w:val="0"/>
                <w:i w:val="0"/>
                <w:color w:val="0F172A"/>
                <w:sz w:val="19"/>
              </w:rPr>
              <w:t>Visible agenda, one-step cards, predictable transitions, quiet options</w:t>
            </w:r>
          </w:p>
        </w:tc>
        <w:tc>
          <w:tcPr>
            <w:tcW w:type="dxa" w:w="3312"/>
            <w:tcBorders>
              <w:top w:val="single" w:sz="6" w:color="CBD5E1"/>
              <w:left w:val="single" w:sz="6" w:color="CBD5E1"/>
              <w:bottom w:val="single" w:sz="6" w:color="CBD5E1"/>
              <w:right w:val="single" w:sz="6" w:color="CBD5E1"/>
            </w:tcBorders>
            <w:tcMar>
              <w:top w:w="95" w:type="dxa"/>
              <w:start w:w="110" w:type="dxa"/>
              <w:bottom w:w="95" w:type="dxa"/>
              <w:end w:w="110" w:type="dxa"/>
            </w:tcMar>
          </w:tcPr>
          <w:p>
            <w:pPr>
              <w:spacing w:after="0"/>
            </w:pPr>
            <w:r>
              <w:rPr>
                <w:rFonts w:ascii="Arial" w:hAnsi="Arial"/>
                <w:b w:val="0"/>
                <w:i w:val="0"/>
                <w:color w:val="0F172A"/>
                <w:sz w:val="19"/>
              </w:rPr>
              <w:t>Follow the investigation and explain revision</w:t>
            </w:r>
          </w:p>
        </w:tc>
      </w:tr>
      <w:tr>
        <w:tc>
          <w:tcPr>
            <w:tcW w:type="dxa" w:w="3312"/>
            <w:tcBorders>
              <w:top w:val="single" w:sz="6" w:color="CBD5E1"/>
              <w:left w:val="single" w:sz="6" w:color="CBD5E1"/>
              <w:bottom w:val="single" w:sz="6" w:color="CBD5E1"/>
              <w:right w:val="single" w:sz="6" w:color="CBD5E1"/>
            </w:tcBorders>
            <w:tcMar>
              <w:top w:w="95" w:type="dxa"/>
              <w:start w:w="110" w:type="dxa"/>
              <w:bottom w:w="95" w:type="dxa"/>
              <w:end w:w="110" w:type="dxa"/>
            </w:tcMar>
          </w:tcPr>
          <w:p>
            <w:pPr>
              <w:spacing w:after="0"/>
            </w:pPr>
            <w:r>
              <w:rPr>
                <w:rFonts w:ascii="Arial" w:hAnsi="Arial"/>
                <w:b/>
                <w:i w:val="0"/>
                <w:color w:val="0F172A"/>
                <w:sz w:val="19"/>
              </w:rPr>
              <w:t>One technology as gatekeeper</w:t>
            </w:r>
          </w:p>
        </w:tc>
        <w:tc>
          <w:tcPr>
            <w:tcW w:type="dxa" w:w="3312"/>
            <w:tcBorders>
              <w:top w:val="single" w:sz="6" w:color="CBD5E1"/>
              <w:left w:val="single" w:sz="6" w:color="CBD5E1"/>
              <w:bottom w:val="single" w:sz="6" w:color="CBD5E1"/>
              <w:right w:val="single" w:sz="6" w:color="CBD5E1"/>
            </w:tcBorders>
            <w:tcMar>
              <w:top w:w="95" w:type="dxa"/>
              <w:start w:w="110" w:type="dxa"/>
              <w:bottom w:w="95" w:type="dxa"/>
              <w:end w:w="110" w:type="dxa"/>
            </w:tcMar>
          </w:tcPr>
          <w:p>
            <w:pPr>
              <w:spacing w:after="0"/>
            </w:pPr>
            <w:r>
              <w:rPr>
                <w:rFonts w:ascii="Arial" w:hAnsi="Arial"/>
                <w:b w:val="0"/>
                <w:i w:val="0"/>
                <w:color w:val="0F172A"/>
                <w:sz w:val="19"/>
              </w:rPr>
              <w:t>Direct view + camera; paper + digital tally</w:t>
            </w:r>
          </w:p>
        </w:tc>
        <w:tc>
          <w:tcPr>
            <w:tcW w:type="dxa" w:w="3312"/>
            <w:tcBorders>
              <w:top w:val="single" w:sz="6" w:color="CBD5E1"/>
              <w:left w:val="single" w:sz="6" w:color="CBD5E1"/>
              <w:bottom w:val="single" w:sz="6" w:color="CBD5E1"/>
              <w:right w:val="single" w:sz="6" w:color="CBD5E1"/>
            </w:tcBorders>
            <w:tcMar>
              <w:top w:w="95" w:type="dxa"/>
              <w:start w:w="110" w:type="dxa"/>
              <w:bottom w:w="95" w:type="dxa"/>
              <w:end w:w="110" w:type="dxa"/>
            </w:tcMar>
          </w:tcPr>
          <w:p>
            <w:pPr>
              <w:spacing w:after="0"/>
            </w:pPr>
            <w:r>
              <w:rPr>
                <w:rFonts w:ascii="Arial" w:hAnsi="Arial"/>
                <w:b w:val="0"/>
                <w:i w:val="0"/>
                <w:color w:val="0F172A"/>
                <w:sz w:val="19"/>
              </w:rPr>
              <w:t>Observe, compare, and mark uncertainty</w:t>
            </w:r>
          </w:p>
        </w:tc>
      </w:tr>
    </w:tbl>
    <w:p>
      <w:pPr>
        <w:pStyle w:val="Heading1"/>
        <w:keepNext/>
        <w:widowControl/>
      </w:pPr>
      <w:r>
        <w:rPr>
          <w:rFonts w:ascii="Arial" w:hAnsi="Arial"/>
          <w:b/>
          <w:i w:val="0"/>
          <w:color w:val="0F172A"/>
          <w:sz w:val="32"/>
        </w:rPr>
        <w:t>Five Camp Moves</w:t>
      </w:r>
    </w:p>
    <w:p>
      <w:pPr>
        <w:widowControl/>
        <w:spacing w:after="80"/>
      </w:pPr>
      <w:r>
        <w:rPr>
          <w:rFonts w:ascii="Arial" w:hAnsi="Arial"/>
          <w:b/>
          <w:i w:val="0"/>
          <w:color w:val="2563A6"/>
          <w:sz w:val="21"/>
        </w:rPr>
        <w:t xml:space="preserve">1  NOTICE  </w:t>
      </w:r>
      <w:r>
        <w:rPr>
          <w:rFonts w:ascii="Arial" w:hAnsi="Arial"/>
          <w:b w:val="0"/>
          <w:i w:val="0"/>
          <w:color w:val="0F172A"/>
          <w:sz w:val="22"/>
        </w:rPr>
        <w:t>Examine clothing labels and ask what the material becomes when tiny pieces break away.</w:t>
      </w:r>
    </w:p>
    <w:p>
      <w:pPr>
        <w:widowControl/>
        <w:spacing w:after="80"/>
      </w:pPr>
      <w:r>
        <w:rPr>
          <w:rFonts w:ascii="Arial" w:hAnsi="Arial"/>
          <w:b/>
          <w:i w:val="0"/>
          <w:color w:val="6D28D9"/>
          <w:sz w:val="21"/>
        </w:rPr>
        <w:t xml:space="preserve">2  MODEL  </w:t>
      </w:r>
      <w:r>
        <w:rPr>
          <w:rFonts w:ascii="Arial" w:hAnsi="Arial"/>
          <w:b w:val="0"/>
          <w:i w:val="0"/>
          <w:color w:val="0F172A"/>
          <w:sz w:val="22"/>
        </w:rPr>
        <w:t>Build a first explanation with drawing, cards, objects, speech, text, or home language.</w:t>
      </w:r>
    </w:p>
    <w:p>
      <w:pPr>
        <w:widowControl/>
        <w:spacing w:after="80"/>
      </w:pPr>
      <w:r>
        <w:rPr>
          <w:rFonts w:ascii="Arial" w:hAnsi="Arial"/>
          <w:b/>
          <w:i w:val="0"/>
          <w:color w:val="2563A6"/>
          <w:sz w:val="21"/>
        </w:rPr>
        <w:t xml:space="preserve">3  INVESTIGATE  </w:t>
      </w:r>
      <w:r>
        <w:rPr>
          <w:rFonts w:ascii="Arial" w:hAnsi="Arial"/>
          <w:b w:val="0"/>
          <w:i w:val="0"/>
          <w:color w:val="0F172A"/>
          <w:sz w:val="22"/>
        </w:rPr>
        <w:t>Filter, examine, classify, tally, and mark uncertainty.</w:t>
      </w:r>
    </w:p>
    <w:p>
      <w:pPr>
        <w:widowControl/>
        <w:spacing w:after="80"/>
      </w:pPr>
      <w:r>
        <w:rPr>
          <w:rFonts w:ascii="Arial" w:hAnsi="Arial"/>
          <w:b/>
          <w:i w:val="0"/>
          <w:color w:val="2F6F3E"/>
          <w:sz w:val="21"/>
        </w:rPr>
        <w:t xml:space="preserve">4  REVISE  </w:t>
      </w:r>
      <w:r>
        <w:rPr>
          <w:rFonts w:ascii="Arial" w:hAnsi="Arial"/>
          <w:b w:val="0"/>
          <w:i w:val="0"/>
          <w:color w:val="0F172A"/>
          <w:sz w:val="22"/>
        </w:rPr>
        <w:t>Compare evidence with trusted sources and repair missing links.</w:t>
      </w:r>
    </w:p>
    <w:p>
      <w:pPr>
        <w:widowControl/>
        <w:spacing w:after="80"/>
      </w:pPr>
      <w:r>
        <w:rPr>
          <w:rFonts w:ascii="Arial" w:hAnsi="Arial"/>
          <w:b/>
          <w:i w:val="0"/>
          <w:color w:val="B45309"/>
          <w:sz w:val="21"/>
        </w:rPr>
        <w:t xml:space="preserve">5  ADVOCATE  </w:t>
      </w:r>
      <w:r>
        <w:rPr>
          <w:rFonts w:ascii="Arial" w:hAnsi="Arial"/>
          <w:b w:val="0"/>
          <w:i w:val="0"/>
          <w:color w:val="0F172A"/>
          <w:sz w:val="22"/>
        </w:rPr>
        <w:t>Use visible mending or reclaimed-textile art to tell a real audience what should change.</w:t>
      </w:r>
    </w:p>
    <w:p>
      <w:pPr>
        <w:widowControl/>
        <w:spacing w:after="160"/>
      </w:pPr>
      <w:r>
        <w:rPr>
          <w:rFonts w:ascii="Arial" w:hAnsi="Arial"/>
          <w:b/>
          <w:i w:val="0"/>
          <w:color w:val="0F172A"/>
          <w:sz w:val="20"/>
        </w:rPr>
        <w:t xml:space="preserve">Learning-sciences basis: </w:t>
      </w:r>
      <w:hyperlink r:id="rId19">
        <w:r>
          <w:rPr>
            <w:color w:val="2563A6"/>
            <w:u w:val="single"/>
            <w:rFonts w:ascii="Arial" w:hAnsi="Arial"/>
            <w:sz w:val="21"/>
          </w:rPr>
          <w:t>Ambitious Science Teaching</w:t>
        </w:r>
      </w:hyperlink>
      <w:r>
        <w:rPr>
          <w:rFonts w:ascii="Arial" w:hAnsi="Arial"/>
          <w:b w:val="0"/>
          <w:i w:val="0"/>
          <w:color w:val="0F172A"/>
          <w:sz w:val="20"/>
        </w:rPr>
        <w:t xml:space="preserve"> connects observable events to mechanisms without “magic” jumps.</w:t>
      </w:r>
    </w:p>
    <w:p>
      <w:pPr>
        <w:pStyle w:val="Heading1"/>
        <w:keepNext/>
        <w:widowControl/>
      </w:pPr>
      <w:r>
        <w:rPr>
          <w:rFonts w:ascii="Arial" w:hAnsi="Arial"/>
          <w:b/>
          <w:i w:val="0"/>
          <w:color w:val="B45309"/>
          <w:sz w:val="32"/>
        </w:rPr>
        <w:t>Why Clothing Requires A Multiple-Identities Lens</w:t>
      </w:r>
    </w:p>
    <w:p>
      <w:pPr>
        <w:widowControl/>
      </w:pPr>
      <w:r>
        <w:rPr>
          <w:rFonts w:ascii="Arial" w:hAnsi="Arial"/>
          <w:b w:val="0"/>
          <w:i w:val="0"/>
          <w:color w:val="0F172A"/>
          <w:sz w:val="22"/>
        </w:rPr>
        <w:t>Clothing can carry culture, religion, gender expression, disability access, sensory regulation, safety, money, family expectations, creativity, and belonging. We can investigate microfiber pollution without shaming people for wearing what is affordable, culturally meaningful, or physically tolerable. Misong’s connection between visible mending and Black punk history also lets campers see clothing as culture, resistance, activism, and joy, not only as waste.</w:t>
      </w:r>
    </w:p>
    <w:p>
      <w:pPr>
        <w:pStyle w:val="Heading1"/>
        <w:keepNext/>
        <w:widowControl/>
      </w:pPr>
      <w:r>
        <w:rPr>
          <w:rFonts w:ascii="Arial" w:hAnsi="Arial"/>
          <w:b/>
          <w:i w:val="0"/>
          <w:color w:val="0F172A"/>
          <w:sz w:val="32"/>
        </w:rPr>
        <w:t>Trusted Evidence Library</w:t>
      </w:r>
    </w:p>
    <w:p>
      <w:pPr>
        <w:pStyle w:val="ListBullet"/>
        <w:widowControl/>
        <w:spacing w:after="40"/>
      </w:pPr>
      <w:hyperlink r:id="rId10">
        <w:r>
          <w:rPr>
            <w:color w:val="2563A6"/>
            <w:u w:val="single"/>
            <w:rFonts w:ascii="Arial" w:hAnsi="Arial"/>
            <w:sz w:val="21"/>
          </w:rPr>
          <w:t>NOAA: Microplastics</w:t>
        </w:r>
      </w:hyperlink>
    </w:p>
    <w:p>
      <w:pPr>
        <w:pStyle w:val="ListBullet"/>
        <w:widowControl/>
        <w:spacing w:after="40"/>
      </w:pPr>
      <w:hyperlink r:id="rId11">
        <w:r>
          <w:rPr>
            <w:color w:val="2563A6"/>
            <w:u w:val="single"/>
            <w:rFonts w:ascii="Arial" w:hAnsi="Arial"/>
            <w:sz w:val="21"/>
          </w:rPr>
          <w:t>U.S. EPA: Plastic Products and Plastic Pollution</w:t>
        </w:r>
      </w:hyperlink>
    </w:p>
    <w:p>
      <w:pPr>
        <w:pStyle w:val="ListBullet"/>
        <w:widowControl/>
        <w:spacing w:after="40"/>
      </w:pPr>
      <w:hyperlink r:id="rId12">
        <w:r>
          <w:rPr>
            <w:color w:val="2563A6"/>
            <w:u w:val="single"/>
            <w:rFonts w:ascii="Arial" w:hAnsi="Arial"/>
            <w:sz w:val="21"/>
          </w:rPr>
          <w:t>Peer-reviewed wastewater-treatment review</w:t>
        </w:r>
      </w:hyperlink>
    </w:p>
    <w:p>
      <w:pPr>
        <w:pStyle w:val="ListBullet"/>
        <w:widowControl/>
        <w:spacing w:after="40"/>
      </w:pPr>
      <w:hyperlink r:id="rId13">
        <w:r>
          <w:rPr>
            <w:color w:val="2563A6"/>
            <w:u w:val="single"/>
            <w:rFonts w:ascii="Arial" w:hAnsi="Arial"/>
            <w:sz w:val="21"/>
          </w:rPr>
          <w:t>FDA: Microplastics and Nanoplastics in Foods</w:t>
        </w:r>
      </w:hyperlink>
    </w:p>
    <w:p>
      <w:pPr>
        <w:pStyle w:val="ListBullet"/>
        <w:widowControl/>
        <w:spacing w:after="40"/>
      </w:pPr>
      <w:hyperlink r:id="rId16">
        <w:r>
          <w:rPr>
            <w:color w:val="2563A6"/>
            <w:u w:val="single"/>
            <w:rFonts w:ascii="Arial" w:hAnsi="Arial"/>
            <w:sz w:val="21"/>
          </w:rPr>
          <w:t>WHO: Dietary and Inhalation Exposure to Microplastics</w:t>
        </w:r>
      </w:hyperlink>
    </w:p>
    <w:p>
      <w:pPr>
        <w:pStyle w:val="ListBullet"/>
        <w:widowControl/>
        <w:spacing w:after="40"/>
      </w:pPr>
      <w:hyperlink r:id="rId14">
        <w:r>
          <w:rPr>
            <w:color w:val="2563A6"/>
            <w:u w:val="single"/>
            <w:rFonts w:ascii="Arial" w:hAnsi="Arial"/>
            <w:sz w:val="21"/>
          </w:rPr>
          <w:t>UNEP: Textiles and Pollution</w:t>
        </w:r>
      </w:hyperlink>
    </w:p>
    <w:p>
      <w:pPr>
        <w:pStyle w:val="ListBullet"/>
        <w:widowControl/>
        <w:spacing w:after="40"/>
      </w:pPr>
      <w:hyperlink r:id="rId17">
        <w:r>
          <w:rPr>
            <w:color w:val="2563A6"/>
            <w:u w:val="single"/>
            <w:rFonts w:ascii="Arial" w:hAnsi="Arial"/>
            <w:sz w:val="21"/>
          </w:rPr>
          <w:t>CAST UDL Guidelines 3.0</w:t>
        </w:r>
      </w:hyperlink>
    </w:p>
    <w:p>
      <w:pPr>
        <w:pStyle w:val="ListBullet"/>
        <w:widowControl/>
        <w:spacing w:after="40"/>
      </w:pPr>
      <w:hyperlink r:id="rId19">
        <w:r>
          <w:rPr>
            <w:color w:val="2563A6"/>
            <w:u w:val="single"/>
            <w:rFonts w:ascii="Arial" w:hAnsi="Arial"/>
            <w:sz w:val="21"/>
          </w:rPr>
          <w:t>Ambitious Science Teaching</w:t>
        </w:r>
      </w:hyperlink>
    </w:p>
    <w:p>
      <w:pPr>
        <w:pStyle w:val="Heading2"/>
        <w:keepNext/>
        <w:widowControl/>
      </w:pPr>
      <w:r>
        <w:rPr>
          <w:rFonts w:ascii="Arial" w:hAnsi="Arial"/>
          <w:b/>
          <w:i w:val="0"/>
          <w:color w:val="475569"/>
          <w:sz w:val="26"/>
        </w:rPr>
        <w:t>AI Use Disclosure</w:t>
      </w:r>
    </w:p>
    <w:p>
      <w:pPr>
        <w:widowControl/>
      </w:pPr>
      <w:r>
        <w:rPr>
          <w:rFonts w:ascii="Arial" w:hAnsi="Arial"/>
          <w:b w:val="0"/>
          <w:i w:val="0"/>
          <w:color w:val="475569"/>
          <w:sz w:val="19"/>
        </w:rPr>
        <w:t>I used OpenAI Codex on July 14, 2026 to help organize sources, build the two visual models, test the explanation for missing causal links, and prepare this draft for review. I am responsible for checking the science, revising the language, protecting Misong’s contributions, and deciding what we submit.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rial" w:hAnsi="Arial"/>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rial" w:hAnsi="Arial"/>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google.com/document/d/1onKUk2pjF5nzpMYp_mhhpSb9lGbT40ke9QCgC_EdyDM/edit" TargetMode="External"/><Relationship Id="rId10" Type="http://schemas.openxmlformats.org/officeDocument/2006/relationships/hyperlink" Target="https://marinedebris.noaa.gov/what-marine-debris/microplastics" TargetMode="External"/><Relationship Id="rId11" Type="http://schemas.openxmlformats.org/officeDocument/2006/relationships/hyperlink" Target="https://www.epa.gov/plastics/about-plastic-products-and-plastic-pollution" TargetMode="External"/><Relationship Id="rId12" Type="http://schemas.openxmlformats.org/officeDocument/2006/relationships/hyperlink" Target="https://www.mdpi.com/2076-3417/11/21/10109" TargetMode="External"/><Relationship Id="rId13" Type="http://schemas.openxmlformats.org/officeDocument/2006/relationships/hyperlink" Target="https://www.fda.gov/food/environmental-contaminants-food/microplastics-and-nanoplastics-foods" TargetMode="External"/><Relationship Id="rId14" Type="http://schemas.openxmlformats.org/officeDocument/2006/relationships/hyperlink" Target="https://www.unep.org/interactives/beat-pollution/" TargetMode="External"/><Relationship Id="rId15" Type="http://schemas.openxmlformats.org/officeDocument/2006/relationships/image" Target="media/image1.png"/><Relationship Id="rId16" Type="http://schemas.openxmlformats.org/officeDocument/2006/relationships/hyperlink" Target="https://www.who.int/publications/i/item/9789240054608" TargetMode="External"/><Relationship Id="rId17" Type="http://schemas.openxmlformats.org/officeDocument/2006/relationships/hyperlink" Target="https://udlguidelines.cast.org/more/about-guidelines-3-0/" TargetMode="External"/><Relationship Id="rId18" Type="http://schemas.openxmlformats.org/officeDocument/2006/relationships/image" Target="media/image2.png"/><Relationship Id="rId19" Type="http://schemas.openxmlformats.org/officeDocument/2006/relationships/hyperlink" Target="https://ambitiousscienceteaching.org/get-start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Fiber Fighters: Tiny Fibers, Big Systems</dc:title>
  <dc:subject>Gapless science explanation with neuroinclusive camp design</dc:subject>
  <dc:creator>Piter Garcia and Misong</dc:creator>
  <cp:keywords>EDU486, microfibers, microplastics, neurodivergence, UDL, inclusion, environmental justice</cp:keywords>
  <dc:description>generated by python-docx</dc:description>
  <cp:lastModifiedBy/>
  <cp:revision>1</cp:revision>
  <dcterms:created xsi:type="dcterms:W3CDTF">2013-12-23T23:15:00Z</dcterms:created>
  <dcterms:modified xsi:type="dcterms:W3CDTF">2013-12-23T23:15:00Z</dcterms:modified>
  <cp:category/>
</cp:coreProperties>
</file>