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nvisible-invaders-field-friday-guide"/>
    <w:p>
      <w:pPr>
        <w:pStyle w:val="Title"/>
        <w:keepNext/>
      </w:pPr>
      <w:r>
        <w:t xml:space="preserve">Invisible Invaders: Field Friday Guide</w:t>
      </w:r>
    </w:p>
    <w:p>
      <w:pPr>
        <w:pStyle w:val="Compact"/>
        <w:numPr>
          <w:ilvl w:val="0"/>
          <w:numId w:val="1001"/>
        </w:numPr>
      </w:pPr>
      <w:r>
        <w:rPr>
          <w:b/>
          <w:bCs/>
        </w:rPr>
        <w:t xml:space="preserve">Date:</w:t>
      </w:r>
      <w:r>
        <w:t xml:space="preserve"> </w:t>
      </w:r>
      <w:r>
        <w:t xml:space="preserve">July 24, 2026</w:t>
      </w:r>
    </w:p>
    <w:p>
      <w:pPr>
        <w:pStyle w:val="Compact"/>
        <w:numPr>
          <w:ilvl w:val="0"/>
          <w:numId w:val="1001"/>
        </w:numPr>
      </w:pPr>
      <w:r>
        <w:rPr>
          <w:b/>
          <w:bCs/>
        </w:rPr>
        <w:t xml:space="preserve">Place:</w:t>
      </w:r>
      <w:r>
        <w:t xml:space="preserve"> </w:t>
      </w:r>
      <w:r>
        <w:t xml:space="preserve">Charlotte Beach</w:t>
      </w:r>
    </w:p>
    <w:p>
      <w:pPr>
        <w:pStyle w:val="Compact"/>
        <w:numPr>
          <w:ilvl w:val="0"/>
          <w:numId w:val="1001"/>
        </w:numPr>
      </w:pPr>
      <w:r>
        <w:rPr>
          <w:b/>
          <w:bCs/>
        </w:rPr>
        <w:t xml:space="preserve">Team:</w:t>
      </w:r>
      <w:r>
        <w:t xml:space="preserve"> </w:t>
      </w:r>
      <w:r>
        <w:t xml:space="preserve">Piter Garcia and Aastha</w:t>
      </w:r>
    </w:p>
    <w:p>
      <w:pPr>
        <w:pStyle w:val="Compact"/>
        <w:numPr>
          <w:ilvl w:val="0"/>
          <w:numId w:val="1001"/>
        </w:numPr>
      </w:pPr>
      <w:r>
        <w:rPr>
          <w:b/>
          <w:bCs/>
        </w:rPr>
        <w:t xml:space="preserve">Plan length:</w:t>
      </w:r>
      <w:r>
        <w:t xml:space="preserve"> </w:t>
      </w:r>
      <w:r>
        <w:t xml:space="preserve">40 minutes with three campers</w:t>
      </w:r>
      <w:r>
        <w:t xml:space="preserve"> </w:t>
      </w:r>
      <w:r>
        <w:rPr>
          <w:b/>
          <w:bCs/>
        </w:rPr>
        <w:t xml:space="preserve">Schedule backup:</w:t>
      </w:r>
      <w:r>
        <w:t xml:space="preserve"> </w:t>
      </w:r>
      <w:r>
        <w:t xml:space="preserve">12-minute compressed version at the end</w:t>
      </w:r>
    </w:p>
    <w:p>
      <w:pPr>
        <w:pStyle w:val="FirstParagraph"/>
      </w:pPr>
      <w:r>
        <w:rPr>
          <w:b/>
          <w:bCs/>
        </w:rPr>
        <w:t xml:space="preserve">Editable Google Doc:</w:t>
      </w:r>
      <w:r>
        <w:t xml:space="preserve"> </w:t>
      </w:r>
      <w:hyperlink r:id="rId9">
        <w:r>
          <w:rPr>
            <w:rStyle w:val="Hyperlink"/>
          </w:rPr>
          <w:t xml:space="preserve">04 - Friday Anchoring Phenomenon Routine</w:t>
        </w:r>
      </w:hyperlink>
    </w:p>
    <w:bookmarkStart w:id="14" w:name="start-here"/>
    <w:p>
      <w:pPr>
        <w:pStyle w:val="Heading2"/>
        <w:keepNext/>
        <w:keepLines/>
      </w:pPr>
      <w:r>
        <w:t xml:space="preserve">Start Here</w:t>
      </w:r>
    </w:p>
    <w:bookmarkStart w:id="10" w:name="anchoring-phenomenon"/>
    <w:p>
      <w:pPr>
        <w:pStyle w:val="Heading3"/>
        <w:keepNext/>
        <w:keepLines/>
      </w:pPr>
      <w:r>
        <w:t xml:space="preserve">Anchoring Phenomenon</w:t>
      </w:r>
    </w:p>
    <w:p>
      <w:pPr>
        <w:pStyle w:val="BlockText"/>
      </w:pPr>
      <w:r>
        <w:rPr>
          <w:b/>
          <w:bCs/>
        </w:rPr>
        <w:t xml:space="preserve">Humans aren’t trash cans, but we have plastics in our bodies.</w:t>
      </w:r>
    </w:p>
    <w:bookmarkEnd w:id="10"/>
    <w:bookmarkStart w:id="11" w:name="driving-question"/>
    <w:p>
      <w:pPr>
        <w:pStyle w:val="Heading3"/>
        <w:keepNext/>
        <w:keepLines/>
      </w:pPr>
      <w:r>
        <w:t xml:space="preserve">Driving Question</w:t>
      </w:r>
    </w:p>
    <w:p>
      <w:pPr>
        <w:pStyle w:val="BlockText"/>
      </w:pPr>
      <w:r>
        <w:rPr>
          <w:b/>
          <w:bCs/>
        </w:rPr>
        <w:t xml:space="preserve">How does plastic break into tiny pieces, move through the environment and into living bodies, and how can we stop it fairly?</w:t>
      </w:r>
    </w:p>
    <w:bookmarkEnd w:id="11"/>
    <w:bookmarkStart w:id="12" w:name="friday-connecting-question"/>
    <w:p>
      <w:pPr>
        <w:pStyle w:val="Heading3"/>
        <w:keepNext/>
        <w:keepLines/>
      </w:pPr>
      <w:r>
        <w:t xml:space="preserve">Friday Connecting Question</w:t>
      </w:r>
    </w:p>
    <w:p>
      <w:pPr>
        <w:pStyle w:val="BlockText"/>
      </w:pPr>
      <w:r>
        <w:t xml:space="preserve">🟩</w:t>
      </w:r>
      <w:r>
        <w:t xml:space="preserve"> </w:t>
      </w:r>
      <w:r>
        <w:rPr>
          <w:b/>
          <w:bCs/>
          <w:color w:val="2E7D32"/>
        </w:rPr>
        <w:t xml:space="preserve">GOTTA-HAVE 1: EARTH SYSTEMS ARE INTERCONNECTED.</w:t>
      </w:r>
      <w:r>
        <w:t xml:space="preserve"> </w:t>
      </w:r>
      <w:r>
        <w:t xml:space="preserve">How can plastic move among or collect in sand, water, air, living things, and human systems even when we do not notice it at first?</w:t>
      </w:r>
    </w:p>
    <w:bookmarkEnd w:id="12"/>
    <w:bookmarkStart w:id="13" w:name="friday-goal"/>
    <w:p>
      <w:pPr>
        <w:pStyle w:val="Heading3"/>
        <w:keepNext/>
        <w:keepLines/>
      </w:pPr>
      <w:r>
        <w:t xml:space="preserve">Friday Goal</w:t>
      </w:r>
    </w:p>
    <w:p>
      <w:pPr>
        <w:pStyle w:val="FirstParagraph"/>
      </w:pPr>
      <w:r>
        <w:rPr>
          <w:b/>
          <w:bCs/>
          <w:color w:val="2E7D32"/>
        </w:rPr>
        <w:t xml:space="preserve">Campers compare what they first notice with what magnification and a known count reveal, then use that experience to collect a real sand sample and ask what evidence the week should investigate.</w:t>
      </w:r>
      <w:r>
        <w:t xml:space="preserve"> </w:t>
      </w:r>
      <w:r>
        <w:t xml:space="preserve">The prepared jars are honest models. They are not Charlotte Beach samples and do not prove anything about a neighborhood.</w:t>
      </w:r>
    </w:p>
    <w:bookmarkEnd w:id="13"/>
    <w:bookmarkEnd w:id="14"/>
    <w:bookmarkStart w:id="15" w:name="reading-and-color-key"/>
    <w:p>
      <w:pPr>
        <w:pStyle w:val="Heading2"/>
        <w:keepNext/>
        <w:keepLines/>
      </w:pPr>
      <w:r>
        <w:t xml:space="preserve">Reading And Color Key</w:t>
      </w:r>
    </w:p>
    <w:p>
      <w:pPr>
        <w:pStyle w:val="Compact"/>
        <w:numPr>
          <w:ilvl w:val="0"/>
          <w:numId w:val="1002"/>
        </w:numPr>
      </w:pPr>
      <w:r>
        <w:t xml:space="preserve">🔵</w:t>
      </w:r>
      <w:r>
        <w:t xml:space="preserve"> </w:t>
      </w:r>
      <w:r>
        <w:rPr>
          <w:b/>
          <w:bCs/>
          <w:color w:val="2E74B5"/>
        </w:rPr>
        <w:t xml:space="preserve">SCIENCE:</w:t>
      </w:r>
      <w:r>
        <w:t xml:space="preserve"> </w:t>
      </w:r>
      <w:r>
        <w:t xml:space="preserve">how or why something happens.</w:t>
      </w:r>
    </w:p>
    <w:p>
      <w:pPr>
        <w:pStyle w:val="Compact"/>
        <w:numPr>
          <w:ilvl w:val="0"/>
          <w:numId w:val="1002"/>
        </w:numPr>
      </w:pPr>
      <w:r>
        <w:t xml:space="preserve">🟢</w:t>
      </w:r>
      <w:r>
        <w:t xml:space="preserve"> </w:t>
      </w:r>
      <w:r>
        <w:rPr>
          <w:b/>
          <w:bCs/>
          <w:color w:val="2E7D32"/>
        </w:rPr>
        <w:t xml:space="preserve">EVIDENCE:</w:t>
      </w:r>
      <w:r>
        <w:t xml:space="preserve"> </w:t>
      </w:r>
      <w:r>
        <w:t xml:space="preserve">what we observed, measured, sourced, or still do not know.</w:t>
      </w:r>
    </w:p>
    <w:p>
      <w:pPr>
        <w:pStyle w:val="Compact"/>
        <w:numPr>
          <w:ilvl w:val="0"/>
          <w:numId w:val="1002"/>
        </w:numPr>
      </w:pPr>
      <w:r>
        <w:t xml:space="preserve">🟠</w:t>
      </w:r>
      <w:r>
        <w:t xml:space="preserve"> </w:t>
      </w:r>
      <w:r>
        <w:rPr>
          <w:b/>
          <w:bCs/>
          <w:color w:val="C65D00"/>
        </w:rPr>
        <w:t xml:space="preserve">JUSTICE/ACTION:</w:t>
      </w:r>
      <w:r>
        <w:t xml:space="preserve"> </w:t>
      </w:r>
      <w:r>
        <w:t xml:space="preserve">who is affected, who decides, and what could change fairly.</w:t>
      </w:r>
    </w:p>
    <w:p>
      <w:pPr>
        <w:pStyle w:val="Compact"/>
        <w:numPr>
          <w:ilvl w:val="0"/>
          <w:numId w:val="1002"/>
        </w:numPr>
      </w:pPr>
      <w:r>
        <w:t xml:space="preserve">🟣</w:t>
      </w:r>
      <w:r>
        <w:t xml:space="preserve"> </w:t>
      </w:r>
      <w:r>
        <w:rPr>
          <w:b/>
          <w:bCs/>
          <w:color w:val="6B3FA0"/>
        </w:rPr>
        <w:t xml:space="preserve">ACCESS:</w:t>
      </w:r>
      <w:r>
        <w:t xml:space="preserve"> </w:t>
      </w:r>
      <w:r>
        <w:t xml:space="preserve">an equivalent route for doing the same rigorous science.</w:t>
      </w:r>
    </w:p>
    <w:p>
      <w:pPr>
        <w:pStyle w:val="Compact"/>
        <w:numPr>
          <w:ilvl w:val="0"/>
          <w:numId w:val="1002"/>
        </w:numPr>
      </w:pPr>
      <w:r>
        <w:t xml:space="preserve">🟩</w:t>
      </w:r>
      <w:r>
        <w:t xml:space="preserve"> </w:t>
      </w:r>
      <w:r>
        <w:rPr>
          <w:b/>
          <w:bCs/>
        </w:rPr>
        <w:t xml:space="preserve">GOTTA-HAVE 1:</w:t>
      </w:r>
      <w:r>
        <w:t xml:space="preserve"> </w:t>
      </w:r>
      <w:r>
        <w:t xml:space="preserve">Earth systems are interconnected.</w:t>
      </w:r>
    </w:p>
    <w:bookmarkEnd w:id="15"/>
    <w:bookmarkStart w:id="18" w:name="pack-this-exact-kit"/>
    <w:p>
      <w:pPr>
        <w:pStyle w:val="Heading2"/>
        <w:keepNext/>
        <w:keepLines/>
      </w:pPr>
      <w:r>
        <w:t xml:space="preserve">Pack This Exact Kit</w:t>
      </w:r>
    </w:p>
    <w:bookmarkStart w:id="16" w:name="eleven-jars"/>
    <w:p>
      <w:pPr>
        <w:pStyle w:val="Heading3"/>
        <w:keepNext/>
        <w:keepLines/>
      </w:pPr>
      <w:r>
        <w:t xml:space="preserve">Eleven Jars</w:t>
      </w:r>
    </w:p>
    <w:p>
      <w:pPr>
        <w:pStyle w:val="Compact"/>
        <w:numPr>
          <w:ilvl w:val="0"/>
          <w:numId w:val="1003"/>
        </w:numPr>
      </w:pPr>
      <w:r>
        <w:rPr>
          <w:b/>
          <w:bCs/>
        </w:rPr>
        <w:t xml:space="preserve">Four prepared model jars:</w:t>
      </w:r>
      <w:r>
        <w:t xml:space="preserve"> </w:t>
      </w:r>
      <w:r>
        <w:t xml:space="preserve">MODEL A-D.</w:t>
      </w:r>
    </w:p>
    <w:p>
      <w:pPr>
        <w:pStyle w:val="Compact"/>
        <w:numPr>
          <w:ilvl w:val="0"/>
          <w:numId w:val="1003"/>
        </w:numPr>
      </w:pPr>
      <w:r>
        <w:rPr>
          <w:b/>
          <w:bCs/>
        </w:rPr>
        <w:t xml:space="preserve">Three empty field jars:</w:t>
      </w:r>
      <w:r>
        <w:t xml:space="preserve"> </w:t>
      </w:r>
      <w:r>
        <w:t xml:space="preserve">SAMPLE 1-3, one per expected camper.</w:t>
      </w:r>
    </w:p>
    <w:p>
      <w:pPr>
        <w:pStyle w:val="Compact"/>
        <w:numPr>
          <w:ilvl w:val="0"/>
          <w:numId w:val="1003"/>
        </w:numPr>
      </w:pPr>
      <w:r>
        <w:rPr>
          <w:b/>
          <w:bCs/>
        </w:rPr>
        <w:t xml:space="preserve">Four backup jars:</w:t>
      </w:r>
      <w:r>
        <w:t xml:space="preserve"> </w:t>
      </w:r>
      <w:r>
        <w:t xml:space="preserve">clean, empty, and labeled BACKUP.</w:t>
      </w:r>
    </w:p>
    <w:bookmarkEnd w:id="16"/>
    <w:bookmarkStart w:id="17" w:name="investigation-materials"/>
    <w:p>
      <w:pPr>
        <w:pStyle w:val="Heading3"/>
        <w:keepNext/>
        <w:keepLines/>
      </w:pPr>
      <w:r>
        <w:t xml:space="preserve">Investigation Materials</w:t>
      </w:r>
    </w:p>
    <w:p>
      <w:pPr>
        <w:pStyle w:val="Compact"/>
        <w:numPr>
          <w:ilvl w:val="0"/>
          <w:numId w:val="1004"/>
        </w:numPr>
      </w:pPr>
      <w:r>
        <w:t xml:space="preserve">At least</w:t>
      </w:r>
      <w:r>
        <w:t xml:space="preserve"> </w:t>
      </w:r>
      <w:r>
        <w:rPr>
          <w:b/>
          <w:bCs/>
        </w:rPr>
        <w:t xml:space="preserve">three small trays</w:t>
      </w:r>
      <w:r>
        <w:t xml:space="preserve">, one per camper.</w:t>
      </w:r>
    </w:p>
    <w:p>
      <w:pPr>
        <w:pStyle w:val="Compact"/>
        <w:numPr>
          <w:ilvl w:val="0"/>
          <w:numId w:val="1004"/>
        </w:numPr>
      </w:pPr>
      <w:r>
        <w:t xml:space="preserve">Three clean metal spoons or scoops.</w:t>
      </w:r>
    </w:p>
    <w:p>
      <w:pPr>
        <w:pStyle w:val="Compact"/>
        <w:numPr>
          <w:ilvl w:val="0"/>
          <w:numId w:val="1004"/>
        </w:numPr>
      </w:pPr>
      <w:r>
        <w:t xml:space="preserve">Three magnifiers plus enlarged photo cards as a no-device route.</w:t>
      </w:r>
    </w:p>
    <w:p>
      <w:pPr>
        <w:pStyle w:val="Compact"/>
        <w:numPr>
          <w:ilvl w:val="0"/>
          <w:numId w:val="1004"/>
        </w:numPr>
      </w:pPr>
      <w:r>
        <w:t xml:space="preserve">Four known-count cards for MODEL A-D.</w:t>
      </w:r>
    </w:p>
    <w:p>
      <w:pPr>
        <w:pStyle w:val="Compact"/>
        <w:numPr>
          <w:ilvl w:val="0"/>
          <w:numId w:val="1004"/>
        </w:numPr>
      </w:pPr>
      <w:r>
        <w:t xml:space="preserve">Three BEFORE -&gt; DURING -&gt; AFTER response cards.</w:t>
      </w:r>
    </w:p>
    <w:p>
      <w:pPr>
        <w:pStyle w:val="Compact"/>
        <w:numPr>
          <w:ilvl w:val="0"/>
          <w:numId w:val="1004"/>
        </w:numPr>
      </w:pPr>
      <w:r>
        <w:t xml:space="preserve">Emotional thermometer, visual agenda, timer, pencils, clipboards, and labels.</w:t>
      </w:r>
    </w:p>
    <w:p>
      <w:pPr>
        <w:pStyle w:val="Compact"/>
        <w:numPr>
          <w:ilvl w:val="0"/>
          <w:numId w:val="1004"/>
        </w:numPr>
      </w:pPr>
      <w:r>
        <w:t xml:space="preserve">Clean-tools bin, used-tools bin, transport bin, hand-cleaning supplies, and trash bag.</w:t>
      </w:r>
    </w:p>
    <w:p>
      <w:pPr>
        <w:pStyle w:val="Compact"/>
        <w:numPr>
          <w:ilvl w:val="0"/>
          <w:numId w:val="1004"/>
        </w:numPr>
      </w:pPr>
      <w:r>
        <w:t xml:space="preserve">Site map and weather/time record.</w:t>
      </w:r>
    </w:p>
    <w:p>
      <w:pPr>
        <w:pStyle w:val="Compact"/>
        <w:numPr>
          <w:ilvl w:val="0"/>
          <w:numId w:val="1004"/>
        </w:numPr>
      </w:pPr>
      <w:r>
        <w:t xml:space="preserve">Camera or iPad plus paper backup.</w:t>
      </w:r>
    </w:p>
    <w:p>
      <w:pPr>
        <w:pStyle w:val="FirstParagraph"/>
      </w:pPr>
      <w:r>
        <w:rPr>
          <w:b/>
          <w:bCs/>
        </w:rPr>
        <w:t xml:space="preserve">Clipboards can serve as emergency tray backups, but we still pack three small trays if available.</w:t>
      </w:r>
    </w:p>
    <w:bookmarkEnd w:id="17"/>
    <w:bookmarkEnd w:id="18"/>
    <w:bookmarkStart w:id="19" w:name="build-the-four-model-jars"/>
    <w:p>
      <w:pPr>
        <w:pStyle w:val="Heading2"/>
        <w:keepNext/>
        <w:keepLines/>
      </w:pPr>
      <w:r>
        <w:t xml:space="preserve">Build The Four Model Jars</w:t>
      </w:r>
    </w:p>
    <w:p>
      <w:pPr>
        <w:pStyle w:val="FirstParagraph"/>
      </w:pPr>
      <w:r>
        <w:rPr>
          <w:b/>
          <w:bCs/>
        </w:rPr>
        <w:t xml:space="preserve">Use clean sand and pre-counted, recoverable plastic proxy pieces. Do not crush, grind, sand, or scrape plastic.</w:t>
      </w:r>
      <w:r>
        <w:t xml:space="preserve"> </w:t>
      </w:r>
      <w:r>
        <w:t xml:space="preserve">Use pieces that can be recovered and counted. Smaller evidence can be short threads or fragments secured inside a clear sealed sample sleeve or placed so magnification helps reveal it without creating loose dust.</w:t>
      </w:r>
    </w:p>
    <w:tbl>
      <w:tblPr>
        <w:tblStyle w:val="Table"/>
        <w:tblW w:type="dxa" w:w="9360"/>
        <w:jc w:val="left"/>
        <w:tblLayout w:type="fixed"/>
        <w:tblLook w:firstRow="1" w:lastRow="0" w:firstColumn="0" w:lastColumn="0" w:noHBand="0" w:noVBand="0" w:val="0020"/>
        <w:tblInd w:w="120" w:type="dxa"/>
      </w:tblPr>
      <w:tblGrid>
        <w:gridCol w:w="2000"/>
        <w:gridCol w:w="2450"/>
        <w:gridCol w:w="2450"/>
        <w:gridCol w:w="2460"/>
      </w:tblGrid>
      <w:tr>
        <w:trPr>
          <w:tblHeader w:val="on"/>
          <w:cantSplit w:val="true"/>
          <w:tblHeader w:val="true"/>
        </w:trPr>
        <w:tc>
          <w:tcPr>
            <w:tcW w:w="2000" w:type="dxa"/>
            <w:tcMar>
              <w:top w:w="80" w:type="dxa"/>
              <w:start w:w="120" w:type="dxa"/>
              <w:bottom w:w="80" w:type="dxa"/>
              <w:end w:w="120" w:type="dxa"/>
            </w:tcMar>
            <w:vAlign w:val="center"/>
            <w:shd w:fill="E8EEF5"/>
          </w:tcPr>
          <w:p>
            <w:pPr>
              <w:pStyle w:val="Compact"/>
              <w:spacing w:after="40" w:line="252" w:lineRule="auto"/>
            </w:pPr>
            <w:r>
              <w:rPr>
                <w:rFonts w:ascii="Calibri" w:hAnsi="Calibri"/>
                <w:b/>
                <w:sz w:val="19"/>
              </w:rPr>
              <w:t xml:space="preserve">Jar</w:t>
            </w:r>
          </w:p>
        </w:tc>
        <w:tc>
          <w:tcPr>
            <w:tcW w:w="2450" w:type="dxa"/>
            <w:tcMar>
              <w:top w:w="80" w:type="dxa"/>
              <w:start w:w="120" w:type="dxa"/>
              <w:bottom w:w="80" w:type="dxa"/>
              <w:end w:w="120" w:type="dxa"/>
            </w:tcMar>
            <w:vAlign w:val="center"/>
            <w:shd w:fill="E8EEF5"/>
          </w:tcPr>
          <w:p>
            <w:pPr>
              <w:pStyle w:val="Compact"/>
              <w:spacing w:after="40" w:line="252" w:lineRule="auto"/>
              <w:jc w:val="right"/>
            </w:pPr>
            <w:r>
              <w:rPr>
                <w:rFonts w:ascii="Calibri" w:hAnsi="Calibri"/>
                <w:b/>
                <w:sz w:val="19"/>
              </w:rPr>
              <w:t xml:space="preserve">First-look pieces</w:t>
            </w:r>
          </w:p>
        </w:tc>
        <w:tc>
          <w:tcPr>
            <w:tcW w:w="2450" w:type="dxa"/>
            <w:tcMar>
              <w:top w:w="80" w:type="dxa"/>
              <w:start w:w="120" w:type="dxa"/>
              <w:bottom w:w="80" w:type="dxa"/>
              <w:end w:w="120" w:type="dxa"/>
            </w:tcMar>
            <w:vAlign w:val="center"/>
            <w:shd w:fill="E8EEF5"/>
          </w:tcPr>
          <w:p>
            <w:pPr>
              <w:pStyle w:val="Compact"/>
              <w:spacing w:after="40" w:line="252" w:lineRule="auto"/>
              <w:jc w:val="right"/>
            </w:pPr>
            <w:r>
              <w:rPr>
                <w:rFonts w:ascii="Calibri" w:hAnsi="Calibri"/>
                <w:b/>
                <w:sz w:val="19"/>
              </w:rPr>
              <w:t xml:space="preserve">Less-visible pieces</w:t>
            </w:r>
          </w:p>
        </w:tc>
        <w:tc>
          <w:tcPr>
            <w:tcW w:w="2460" w:type="dxa"/>
            <w:tcMar>
              <w:top w:w="80" w:type="dxa"/>
              <w:start w:w="120" w:type="dxa"/>
              <w:bottom w:w="80" w:type="dxa"/>
              <w:end w:w="120" w:type="dxa"/>
            </w:tcMar>
            <w:vAlign w:val="center"/>
            <w:shd w:fill="E8EEF5"/>
          </w:tcPr>
          <w:p>
            <w:pPr>
              <w:pStyle w:val="Compact"/>
              <w:spacing w:after="40" w:line="252" w:lineRule="auto"/>
              <w:jc w:val="right"/>
            </w:pPr>
            <w:r>
              <w:rPr>
                <w:rFonts w:ascii="Calibri" w:hAnsi="Calibri"/>
                <w:b/>
                <w:sz w:val="19"/>
              </w:rPr>
              <w:t xml:space="preserve">Known total</w:t>
            </w:r>
          </w:p>
        </w:tc>
      </w:tr>
      <w:tr>
        <w:trPr>
          <w:cantSplit w:val="true"/>
        </w:trPr>
        <w:tc>
          <w:tcPr>
            <w:tcW w:w="2000" w:type="dxa"/>
            <w:tcMar>
              <w:top w:w="80" w:type="dxa"/>
              <w:start w:w="120" w:type="dxa"/>
              <w:bottom w:w="80" w:type="dxa"/>
              <w:end w:w="120" w:type="dxa"/>
            </w:tcMar>
            <w:vAlign w:val="center"/>
          </w:tcPr>
          <w:p>
            <w:pPr>
              <w:pStyle w:val="Compact"/>
              <w:spacing w:after="40" w:line="252" w:lineRule="auto"/>
            </w:pPr>
            <w:r>
              <w:rPr>
                <w:rFonts w:ascii="Calibri" w:hAnsi="Calibri"/>
                <w:sz w:val="19"/>
              </w:rPr>
              <w:t xml:space="preserve">MODEL A</w:t>
            </w:r>
          </w:p>
        </w:tc>
        <w:tc>
          <w:tcPr>
            <w:tcW w:w="245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4</w:t>
            </w:r>
          </w:p>
        </w:tc>
        <w:tc>
          <w:tcPr>
            <w:tcW w:w="245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4</w:t>
            </w:r>
          </w:p>
        </w:tc>
        <w:tc>
          <w:tcPr>
            <w:tcW w:w="246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8</w:t>
            </w:r>
          </w:p>
        </w:tc>
      </w:tr>
      <w:tr>
        <w:trPr>
          <w:cantSplit w:val="true"/>
        </w:trPr>
        <w:tc>
          <w:tcPr>
            <w:tcW w:w="2000" w:type="dxa"/>
            <w:tcMar>
              <w:top w:w="80" w:type="dxa"/>
              <w:start w:w="120" w:type="dxa"/>
              <w:bottom w:w="80" w:type="dxa"/>
              <w:end w:w="120" w:type="dxa"/>
            </w:tcMar>
            <w:vAlign w:val="center"/>
          </w:tcPr>
          <w:p>
            <w:pPr>
              <w:pStyle w:val="Compact"/>
              <w:spacing w:after="40" w:line="252" w:lineRule="auto"/>
            </w:pPr>
            <w:r>
              <w:rPr>
                <w:rFonts w:ascii="Calibri" w:hAnsi="Calibri"/>
                <w:sz w:val="19"/>
              </w:rPr>
              <w:t xml:space="preserve">MODEL B</w:t>
            </w:r>
          </w:p>
        </w:tc>
        <w:tc>
          <w:tcPr>
            <w:tcW w:w="245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2</w:t>
            </w:r>
          </w:p>
        </w:tc>
        <w:tc>
          <w:tcPr>
            <w:tcW w:w="245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10</w:t>
            </w:r>
          </w:p>
        </w:tc>
        <w:tc>
          <w:tcPr>
            <w:tcW w:w="246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12</w:t>
            </w:r>
          </w:p>
        </w:tc>
      </w:tr>
      <w:tr>
        <w:trPr>
          <w:cantSplit w:val="true"/>
        </w:trPr>
        <w:tc>
          <w:tcPr>
            <w:tcW w:w="2000" w:type="dxa"/>
            <w:tcMar>
              <w:top w:w="80" w:type="dxa"/>
              <w:start w:w="120" w:type="dxa"/>
              <w:bottom w:w="80" w:type="dxa"/>
              <w:end w:w="120" w:type="dxa"/>
            </w:tcMar>
            <w:vAlign w:val="center"/>
          </w:tcPr>
          <w:p>
            <w:pPr>
              <w:pStyle w:val="Compact"/>
              <w:spacing w:after="40" w:line="252" w:lineRule="auto"/>
            </w:pPr>
            <w:r>
              <w:rPr>
                <w:rFonts w:ascii="Calibri" w:hAnsi="Calibri"/>
                <w:sz w:val="19"/>
              </w:rPr>
              <w:t xml:space="preserve">MODEL C</w:t>
            </w:r>
          </w:p>
        </w:tc>
        <w:tc>
          <w:tcPr>
            <w:tcW w:w="245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6</w:t>
            </w:r>
          </w:p>
        </w:tc>
        <w:tc>
          <w:tcPr>
            <w:tcW w:w="245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2</w:t>
            </w:r>
          </w:p>
        </w:tc>
        <w:tc>
          <w:tcPr>
            <w:tcW w:w="246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8</w:t>
            </w:r>
          </w:p>
        </w:tc>
      </w:tr>
      <w:tr>
        <w:trPr>
          <w:cantSplit w:val="true"/>
        </w:trPr>
        <w:tc>
          <w:tcPr>
            <w:tcW w:w="2000" w:type="dxa"/>
            <w:tcMar>
              <w:top w:w="80" w:type="dxa"/>
              <w:start w:w="120" w:type="dxa"/>
              <w:bottom w:w="80" w:type="dxa"/>
              <w:end w:w="120" w:type="dxa"/>
            </w:tcMar>
            <w:vAlign w:val="center"/>
          </w:tcPr>
          <w:p>
            <w:pPr>
              <w:pStyle w:val="Compact"/>
              <w:spacing w:after="40" w:line="252" w:lineRule="auto"/>
            </w:pPr>
            <w:r>
              <w:rPr>
                <w:rFonts w:ascii="Calibri" w:hAnsi="Calibri"/>
                <w:sz w:val="19"/>
              </w:rPr>
              <w:t xml:space="preserve">MODEL D</w:t>
            </w:r>
          </w:p>
        </w:tc>
        <w:tc>
          <w:tcPr>
            <w:tcW w:w="245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1</w:t>
            </w:r>
          </w:p>
        </w:tc>
        <w:tc>
          <w:tcPr>
            <w:tcW w:w="245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5</w:t>
            </w:r>
          </w:p>
        </w:tc>
        <w:tc>
          <w:tcPr>
            <w:tcW w:w="2460" w:type="dxa"/>
            <w:tcMar>
              <w:top w:w="80" w:type="dxa"/>
              <w:start w:w="120" w:type="dxa"/>
              <w:bottom w:w="80" w:type="dxa"/>
              <w:end w:w="120" w:type="dxa"/>
            </w:tcMar>
            <w:vAlign w:val="center"/>
          </w:tcPr>
          <w:p>
            <w:pPr>
              <w:pStyle w:val="Compact"/>
              <w:spacing w:after="40" w:line="252" w:lineRule="auto"/>
              <w:jc w:val="right"/>
            </w:pPr>
            <w:r>
              <w:rPr>
                <w:rFonts w:ascii="Calibri" w:hAnsi="Calibri"/>
                <w:sz w:val="19"/>
              </w:rPr>
              <w:t xml:space="preserve">6</w:t>
            </w:r>
          </w:p>
        </w:tc>
      </w:tr>
    </w:tbl>
    <w:p>
      <w:pPr>
        <w:pStyle w:val="BodyText"/>
      </w:pPr>
      <w:r>
        <w:rPr>
          <w:b/>
          <w:bCs/>
        </w:rPr>
        <w:t xml:space="preserve">Pilot and photograph every model before Friday.</w:t>
      </w:r>
      <w:r>
        <w:t xml:space="preserve"> </w:t>
      </w:r>
      <w:r>
        <w:t xml:space="preserve">Keep the arrangement and counts the same for every camper. If wind makes opening unsafe, keep the jar closed and use the prepared close-up image and known-count card.</w:t>
      </w:r>
    </w:p>
    <w:bookmarkEnd w:id="19"/>
    <w:bookmarkStart w:id="20" w:name="before-campers-arrive"/>
    <w:p>
      <w:pPr>
        <w:pStyle w:val="Heading2"/>
        <w:keepNext/>
        <w:keepLines/>
      </w:pPr>
      <w:r>
        <w:t xml:space="preserve">Before Campers Arrive</w:t>
      </w:r>
    </w:p>
    <w:p>
      <w:pPr>
        <w:pStyle w:val="Compact"/>
        <w:numPr>
          <w:ilvl w:val="0"/>
          <w:numId w:val="1005"/>
        </w:numPr>
      </w:pPr>
      <w:r>
        <w:t xml:space="preserve">Count all eleven jars and match every lid.</w:t>
      </w:r>
    </w:p>
    <w:p>
      <w:pPr>
        <w:pStyle w:val="Compact"/>
        <w:numPr>
          <w:ilvl w:val="0"/>
          <w:numId w:val="1006"/>
        </w:numPr>
      </w:pPr>
      <w:r>
        <w:t xml:space="preserve">Put MODEL A-D, SAMPLE 1-3, and BACKUP labels on both container and lid.</w:t>
      </w:r>
    </w:p>
    <w:p>
      <w:pPr>
        <w:pStyle w:val="Compact"/>
        <w:numPr>
          <w:ilvl w:val="0"/>
          <w:numId w:val="1007"/>
        </w:numPr>
      </w:pPr>
      <w:r>
        <w:t xml:space="preserve">Pack three trays, three clean scoops, three magnifiers, and three response cards.</w:t>
      </w:r>
    </w:p>
    <w:p>
      <w:pPr>
        <w:pStyle w:val="Compact"/>
        <w:numPr>
          <w:ilvl w:val="0"/>
          <w:numId w:val="1008"/>
        </w:numPr>
      </w:pPr>
      <w:r>
        <w:t xml:space="preserve">Choose sampling sites with instructors</w:t>
      </w:r>
      <w:r>
        <w:t xml:space="preserve"> </w:t>
      </w:r>
      <w:r>
        <w:rPr>
          <w:b/>
          <w:bCs/>
        </w:rPr>
        <w:t xml:space="preserve">at the beach</w:t>
      </w:r>
      <w:r>
        <w:t xml:space="preserve"> </w:t>
      </w:r>
      <w:r>
        <w:t xml:space="preserve">and record them on the map.</w:t>
      </w:r>
    </w:p>
    <w:p>
      <w:pPr>
        <w:pStyle w:val="Compact"/>
        <w:numPr>
          <w:ilvl w:val="0"/>
          <w:numId w:val="1009"/>
        </w:numPr>
      </w:pPr>
      <w:r>
        <w:t xml:space="preserve">Keep model materials and real field samples in separate labeled bins.</w:t>
      </w:r>
    </w:p>
    <w:p>
      <w:pPr>
        <w:pStyle w:val="Compact"/>
        <w:numPr>
          <w:ilvl w:val="0"/>
          <w:numId w:val="1010"/>
        </w:numPr>
      </w:pPr>
      <w:r>
        <w:t xml:space="preserve">Test the iPad/camera, timer, and visual agenda; bring paper backups.</w:t>
      </w:r>
    </w:p>
    <w:p>
      <w:pPr>
        <w:pStyle w:val="Compact"/>
        <w:numPr>
          <w:ilvl w:val="0"/>
          <w:numId w:val="1011"/>
        </w:numPr>
      </w:pPr>
      <w:r>
        <w:t xml:space="preserve">Decide roles: Piter launches the prompt first; Aastha records responses and manages materials. Rotate if useful.</w:t>
      </w:r>
    </w:p>
    <w:p>
      <w:pPr>
        <w:pStyle w:val="Compact"/>
        <w:numPr>
          <w:ilvl w:val="0"/>
          <w:numId w:val="1012"/>
        </w:numPr>
      </w:pPr>
      <w:r>
        <w:t xml:space="preserve">Confirm exact session length, group size, photo permissions, and weather backup.</w:t>
      </w:r>
    </w:p>
    <w:bookmarkEnd w:id="20"/>
    <w:bookmarkStart w:id="29" w:name="the-40-minute-routine"/>
    <w:p>
      <w:pPr>
        <w:pStyle w:val="Heading2"/>
        <w:keepNext/>
        <w:keepLines/>
      </w:pPr>
      <w:r>
        <w:t xml:space="preserve">The 40-Minute Routine</w:t>
      </w:r>
    </w:p>
    <w:bookmarkStart w:id="21" w:name="connect-to-the-beach-000-500"/>
    <w:p>
      <w:pPr>
        <w:pStyle w:val="Heading3"/>
        <w:keepNext/>
        <w:keepLines/>
      </w:pPr>
      <w:r>
        <w:t xml:space="preserve">1. Connect To The Beach (0:00-5:00)</w:t>
      </w:r>
    </w:p>
    <w:p>
      <w:pPr>
        <w:pStyle w:val="FirstParagraph"/>
      </w:pPr>
      <w:r>
        <w:rPr>
          <w:b/>
          <w:bCs/>
        </w:rPr>
        <w:t xml:space="preserve">Show the whole sequence first:</w:t>
      </w:r>
      <w:r>
        <w:t xml:space="preserve"> </w:t>
      </w:r>
      <w:r>
        <w:t xml:space="preserve">FEEL -&gt; WATCH -&gt; PREDICT -&gt; LOOK -&gt; MAGNIFY -&gt; SAMPLE -&gt; SHARE.</w:t>
      </w:r>
    </w:p>
    <w:p>
      <w:pPr>
        <w:pStyle w:val="BodyText"/>
      </w:pPr>
      <w:r>
        <w:rPr>
          <w:b/>
          <w:bCs/>
        </w:rPr>
        <w:t xml:space="preserve">SAY:</w:t>
      </w:r>
      <w:r>
        <w:t xml:space="preserve"> </w:t>
      </w:r>
      <w:r>
        <w:t xml:space="preserve">“We will talk about the beach, watch one short example, investigate a model, collect a real sample, and leave one question. You may point, draw, speak, write, photograph, work with a partner, ask us to write for you, or pass and join later.”</w:t>
      </w:r>
    </w:p>
    <w:p>
      <w:pPr>
        <w:pStyle w:val="BodyText"/>
      </w:pPr>
      <w:r>
        <w:t xml:space="preserve">Ask one prompt at a time:</w:t>
      </w:r>
    </w:p>
    <w:p>
      <w:pPr>
        <w:pStyle w:val="Compact"/>
        <w:numPr>
          <w:ilvl w:val="0"/>
          <w:numId w:val="1013"/>
        </w:numPr>
      </w:pPr>
      <w:r>
        <w:t xml:space="preserve">What do you like to do at a beach?</w:t>
      </w:r>
    </w:p>
    <w:p>
      <w:pPr>
        <w:pStyle w:val="Compact"/>
        <w:numPr>
          <w:ilvl w:val="0"/>
          <w:numId w:val="1013"/>
        </w:numPr>
      </w:pPr>
      <w:r>
        <w:t xml:space="preserve">How would you feel if something you could not easily see was mixed into the sand or water?</w:t>
      </w:r>
    </w:p>
    <w:p>
      <w:pPr>
        <w:pStyle w:val="FirstParagraph"/>
      </w:pPr>
      <w:r>
        <w:rPr>
          <w:b/>
          <w:bCs/>
        </w:rPr>
        <w:t xml:space="preserve">Record their words without correcting them.</w:t>
      </w:r>
      <w:r>
        <w:t xml:space="preserve"> </w:t>
      </w:r>
      <w:r>
        <w:t xml:space="preserve">Campers may point to the emotional thermometer, draw, speak, write, or pass. No one must discuss their own body or health.</w:t>
      </w:r>
    </w:p>
    <w:bookmarkEnd w:id="21"/>
    <w:bookmarkStart w:id="22" w:name="model-the-investigation-500-1000"/>
    <w:p>
      <w:pPr>
        <w:pStyle w:val="Heading3"/>
        <w:keepNext/>
        <w:keepLines/>
      </w:pPr>
      <w:r>
        <w:t xml:space="preserve">2. Model The Investigation (5:00-10:00)</w:t>
      </w:r>
    </w:p>
    <w:p>
      <w:pPr>
        <w:pStyle w:val="FirstParagraph"/>
      </w:pPr>
      <w:r>
        <w:rPr>
          <w:b/>
          <w:bCs/>
        </w:rPr>
        <w:t xml:space="preserve">Demonstrate the whole process quickly without giving away the explanation.</w:t>
      </w:r>
    </w:p>
    <w:p>
      <w:pPr>
        <w:pStyle w:val="Compact"/>
        <w:numPr>
          <w:ilvl w:val="0"/>
          <w:numId w:val="1014"/>
        </w:numPr>
      </w:pPr>
      <w:r>
        <w:t xml:space="preserve">Read the jar label.</w:t>
      </w:r>
    </w:p>
    <w:p>
      <w:pPr>
        <w:pStyle w:val="Compact"/>
        <w:numPr>
          <w:ilvl w:val="0"/>
          <w:numId w:val="1014"/>
        </w:numPr>
      </w:pPr>
      <w:r>
        <w:t xml:space="preserve">Predict how many pieces will be noticed first.</w:t>
      </w:r>
    </w:p>
    <w:p>
      <w:pPr>
        <w:pStyle w:val="Compact"/>
        <w:numPr>
          <w:ilvl w:val="0"/>
          <w:numId w:val="1014"/>
        </w:numPr>
      </w:pPr>
      <w:r>
        <w:t xml:space="preserve">Pour or position the model over a tray in a wind-protected area.</w:t>
      </w:r>
    </w:p>
    <w:p>
      <w:pPr>
        <w:pStyle w:val="Compact"/>
        <w:numPr>
          <w:ilvl w:val="0"/>
          <w:numId w:val="1014"/>
        </w:numPr>
      </w:pPr>
      <w:r>
        <w:t xml:space="preserve">Count what is visible.</w:t>
      </w:r>
    </w:p>
    <w:p>
      <w:pPr>
        <w:pStyle w:val="Compact"/>
        <w:numPr>
          <w:ilvl w:val="0"/>
          <w:numId w:val="1014"/>
        </w:numPr>
      </w:pPr>
      <w:r>
        <w:t xml:space="preserve">Use magnification or the prepared close-up image.</w:t>
      </w:r>
    </w:p>
    <w:p>
      <w:pPr>
        <w:pStyle w:val="Compact"/>
        <w:numPr>
          <w:ilvl w:val="0"/>
          <w:numId w:val="1014"/>
        </w:numPr>
      </w:pPr>
      <w:r>
        <w:t xml:space="preserve">Compare with the known-count card.</w:t>
      </w:r>
    </w:p>
    <w:p>
      <w:pPr>
        <w:pStyle w:val="Compact"/>
        <w:numPr>
          <w:ilvl w:val="0"/>
          <w:numId w:val="1014"/>
        </w:numPr>
      </w:pPr>
      <w:r>
        <w:t xml:space="preserve">Return every model piece to its container.</w:t>
      </w:r>
    </w:p>
    <w:p>
      <w:pPr>
        <w:pStyle w:val="FirstParagraph"/>
      </w:pPr>
      <w:r>
        <w:rPr>
          <w:b/>
          <w:bCs/>
        </w:rPr>
        <w:t xml:space="preserve">SAY:</w:t>
      </w:r>
      <w:r>
        <w:t xml:space="preserve"> </w:t>
      </w:r>
      <w:r>
        <w:t xml:space="preserve">“Our model has a known answer because we built it. A real beach sample does not. We need careful labels and a consistent method before we make a claim.”</w:t>
      </w:r>
    </w:p>
    <w:bookmarkEnd w:id="22"/>
    <w:bookmarkStart w:id="26" w:name="camper-investigation-1000-2500"/>
    <w:p>
      <w:pPr>
        <w:pStyle w:val="Heading3"/>
        <w:keepNext/>
        <w:keepLines/>
      </w:pPr>
      <w:r>
        <w:t xml:space="preserve">3. Camper Investigation (10:00-25:00)</w:t>
      </w:r>
    </w:p>
    <w:p>
      <w:pPr>
        <w:pStyle w:val="FirstParagraph"/>
      </w:pPr>
      <w:r>
        <w:t xml:space="preserve">Give each camper a model jar, tray, magnifier, and response card. Use a friendly mission:</w:t>
      </w:r>
      <w:r>
        <w:t xml:space="preserve"> </w:t>
      </w:r>
      <w:r>
        <w:rPr>
          <w:b/>
          <w:bCs/>
          <w:color w:val="2E7D32"/>
        </w:rPr>
        <w:t xml:space="preserve">Can we make every piece of evidence accountable before the timer ends?</w:t>
      </w:r>
      <w:r>
        <w:t xml:space="preserve"> </w:t>
      </w:r>
      <w:r>
        <w:t xml:space="preserve">Recognition is for careful noticing, explaining, revising, helping, and safe cleanup, not for the closest prediction.</w:t>
      </w:r>
    </w:p>
    <w:bookmarkStart w:id="23" w:name="before"/>
    <w:p>
      <w:pPr>
        <w:pStyle w:val="Heading4"/>
        <w:keepNext/>
        <w:keepLines/>
      </w:pPr>
      <w:r>
        <w:t xml:space="preserve">BEFORE</w:t>
      </w:r>
    </w:p>
    <w:p>
      <w:pPr>
        <w:pStyle w:val="FirstParagraph"/>
      </w:pPr>
      <w:r>
        <w:rPr>
          <w:b/>
          <w:bCs/>
        </w:rPr>
        <w:t xml:space="preserve">Ask:</w:t>
      </w:r>
      <w:r>
        <w:t xml:space="preserve"> </w:t>
      </w:r>
      <w:r>
        <w:t xml:space="preserve">“How many pieces do you think you will notice first? What makes you think that?”</w:t>
      </w:r>
    </w:p>
    <w:p>
      <w:pPr>
        <w:pStyle w:val="BodyText"/>
      </w:pPr>
      <w:r>
        <w:t xml:space="preserve">Campers can choose a number, point to a range, draw the jar, dictate, or speak. A facilitator can record the response.</w:t>
      </w:r>
    </w:p>
    <w:bookmarkEnd w:id="23"/>
    <w:bookmarkStart w:id="24" w:name="during"/>
    <w:p>
      <w:pPr>
        <w:pStyle w:val="Heading4"/>
        <w:keepNext/>
        <w:keepLines/>
      </w:pPr>
      <w:r>
        <w:t xml:space="preserve">DURING</w:t>
      </w:r>
    </w:p>
    <w:p>
      <w:pPr>
        <w:pStyle w:val="FirstParagraph"/>
      </w:pPr>
      <w:r>
        <w:rPr>
          <w:b/>
          <w:bCs/>
        </w:rPr>
        <w:t xml:space="preserve">Ask:</w:t>
      </w:r>
      <w:r>
        <w:t xml:space="preserve"> </w:t>
      </w:r>
      <w:r>
        <w:t xml:space="preserve">“What can you see now? What becomes easier to notice with the magnifier?”</w:t>
      </w:r>
    </w:p>
    <w:p>
      <w:pPr>
        <w:pStyle w:val="BodyText"/>
      </w:pPr>
      <w:r>
        <w:t xml:space="preserve">Campers count visible pieces, use magnification, and compare observations. Facilitators circulate and check in instead of waiting for a camper to request help.</w:t>
      </w:r>
    </w:p>
    <w:bookmarkEnd w:id="24"/>
    <w:bookmarkStart w:id="25" w:name="after"/>
    <w:p>
      <w:pPr>
        <w:pStyle w:val="Heading4"/>
        <w:keepNext/>
        <w:keepLines/>
      </w:pPr>
      <w:r>
        <w:t xml:space="preserve">AFTER</w:t>
      </w:r>
    </w:p>
    <w:p>
      <w:pPr>
        <w:pStyle w:val="FirstParagraph"/>
      </w:pPr>
      <w:r>
        <w:t xml:space="preserve">Reveal the known-count card.</w:t>
      </w:r>
    </w:p>
    <w:p>
      <w:pPr>
        <w:pStyle w:val="BodyText"/>
      </w:pPr>
      <w:r>
        <w:rPr>
          <w:b/>
          <w:bCs/>
        </w:rPr>
        <w:t xml:space="preserve">Ask:</w:t>
      </w:r>
      <w:r>
        <w:t xml:space="preserve"> </w:t>
      </w:r>
      <w:r>
        <w:t xml:space="preserve">“What changed between your prediction and the evidence? Do you think looking once tells us everything about a real sample?”</w:t>
      </w:r>
    </w:p>
    <w:p>
      <w:pPr>
        <w:pStyle w:val="BodyText"/>
      </w:pPr>
      <w:r>
        <w:t xml:space="preserve">Record one observation and one limitation in the camper’s words.</w:t>
      </w:r>
    </w:p>
    <w:p>
      <w:pPr>
        <w:pStyle w:val="BlockText"/>
      </w:pPr>
      <w:r>
        <w:t xml:space="preserve">🟢</w:t>
      </w:r>
      <w:r>
        <w:t xml:space="preserve"> </w:t>
      </w:r>
      <w:r>
        <w:rPr>
          <w:b/>
          <w:bCs/>
          <w:color w:val="2E7D32"/>
        </w:rPr>
        <w:t xml:space="preserve">EVIDENCE LIMIT:</w:t>
      </w:r>
      <w:r>
        <w:t xml:space="preserve"> </w:t>
      </w:r>
      <w:r>
        <w:t xml:space="preserve">The model can show that a first look may miss material. It cannot tell us how much plastic is in Charlotte Beach sand, where a field particle came from, or whether something seen outdoors is chemically confirmed plastic.</w:t>
      </w:r>
    </w:p>
    <w:bookmarkEnd w:id="25"/>
    <w:bookmarkEnd w:id="26"/>
    <w:bookmarkStart w:id="27" w:name="collect-a-real-sand-sample-2500-3500"/>
    <w:p>
      <w:pPr>
        <w:pStyle w:val="Heading3"/>
        <w:keepNext/>
        <w:keepLines/>
      </w:pPr>
      <w:r>
        <w:t xml:space="preserve">4. Collect A Real Sand Sample (25:00-35:00)</w:t>
      </w:r>
    </w:p>
    <w:p>
      <w:pPr>
        <w:pStyle w:val="FirstParagraph"/>
      </w:pPr>
      <w:r>
        <w:t xml:space="preserve">Move to the three agreed sites. Each camper may be sampler, labeler, mapper, photographer, timer, observer, or seated coordinator.</w:t>
      </w:r>
    </w:p>
    <w:p>
      <w:pPr>
        <w:pStyle w:val="Compact"/>
        <w:numPr>
          <w:ilvl w:val="0"/>
          <w:numId w:val="1015"/>
        </w:numPr>
      </w:pPr>
      <w:r>
        <w:t xml:space="preserve">Match SAMPLE 1-3 to the map.</w:t>
      </w:r>
    </w:p>
    <w:p>
      <w:pPr>
        <w:pStyle w:val="Compact"/>
        <w:numPr>
          <w:ilvl w:val="0"/>
          <w:numId w:val="1015"/>
        </w:numPr>
      </w:pPr>
      <w:r>
        <w:t xml:space="preserve">Use the same scoop amount and collection depth at every site.</w:t>
      </w:r>
    </w:p>
    <w:p>
      <w:pPr>
        <w:pStyle w:val="Compact"/>
        <w:numPr>
          <w:ilvl w:val="0"/>
          <w:numId w:val="1015"/>
        </w:numPr>
      </w:pPr>
      <w:r>
        <w:t xml:space="preserve">Record site, time, weather, tool, and anything that could contaminate the sample.</w:t>
      </w:r>
    </w:p>
    <w:p>
      <w:pPr>
        <w:pStyle w:val="Compact"/>
        <w:numPr>
          <w:ilvl w:val="0"/>
          <w:numId w:val="1015"/>
        </w:numPr>
      </w:pPr>
      <w:r>
        <w:t xml:space="preserve">Seal the jar before moving.</w:t>
      </w:r>
    </w:p>
    <w:p>
      <w:pPr>
        <w:pStyle w:val="Compact"/>
        <w:numPr>
          <w:ilvl w:val="0"/>
          <w:numId w:val="1015"/>
        </w:numPr>
      </w:pPr>
      <w:r>
        <w:t xml:space="preserve">Keep field jars away from MODEL A-D.</w:t>
      </w:r>
    </w:p>
    <w:p>
      <w:pPr>
        <w:pStyle w:val="FirstParagraph"/>
      </w:pPr>
      <w:r>
        <w:rPr>
          <w:b/>
          <w:bCs/>
        </w:rPr>
        <w:t xml:space="preserve">SAY:</w:t>
      </w:r>
      <w:r>
        <w:t xml:space="preserve"> </w:t>
      </w:r>
      <w:r>
        <w:t xml:space="preserve">“We can record what we notice, but we will call a field particle a suspected fiber or fragment until the evidence can confirm the material.”</w:t>
      </w:r>
    </w:p>
    <w:bookmarkEnd w:id="27"/>
    <w:bookmarkStart w:id="28" w:name="X6009a6386e37a696ef9f422079f2aac29c04a1e"/>
    <w:p>
      <w:pPr>
        <w:pStyle w:val="Heading3"/>
        <w:keepNext/>
        <w:keepLines/>
      </w:pPr>
      <w:r>
        <w:t xml:space="preserve">5. Show One Thing And Leave One Question (35:00-40:00)</w:t>
      </w:r>
    </w:p>
    <w:p>
      <w:pPr>
        <w:pStyle w:val="FirstParagraph"/>
      </w:pPr>
      <w:r>
        <w:t xml:space="preserve">Each camper may show, point to, draw, photograph, dictate, or tell a partner:</w:t>
      </w:r>
    </w:p>
    <w:p>
      <w:pPr>
        <w:pStyle w:val="Compact"/>
        <w:numPr>
          <w:ilvl w:val="0"/>
          <w:numId w:val="1016"/>
        </w:numPr>
      </w:pPr>
      <w:r>
        <w:t xml:space="preserve">one thing the first look missed;</w:t>
      </w:r>
    </w:p>
    <w:p>
      <w:pPr>
        <w:pStyle w:val="Compact"/>
        <w:numPr>
          <w:ilvl w:val="0"/>
          <w:numId w:val="1016"/>
        </w:numPr>
      </w:pPr>
      <w:r>
        <w:t xml:space="preserve">one thing the magnifier changed;</w:t>
      </w:r>
    </w:p>
    <w:p>
      <w:pPr>
        <w:pStyle w:val="Compact"/>
        <w:numPr>
          <w:ilvl w:val="0"/>
          <w:numId w:val="1016"/>
        </w:numPr>
      </w:pPr>
      <w:r>
        <w:t xml:space="preserve">one question about how plastic could reach this place; or</w:t>
      </w:r>
    </w:p>
    <w:p>
      <w:pPr>
        <w:pStyle w:val="Compact"/>
        <w:numPr>
          <w:ilvl w:val="0"/>
          <w:numId w:val="1016"/>
        </w:numPr>
      </w:pPr>
      <w:r>
        <w:t xml:space="preserve">one fair change that might reduce a pathway.</w:t>
      </w:r>
    </w:p>
    <w:p>
      <w:pPr>
        <w:pStyle w:val="FirstParagraph"/>
      </w:pPr>
      <w:r>
        <w:rPr>
          <w:b/>
          <w:bCs/>
        </w:rPr>
        <w:t xml:space="preserve">CLOSING LINE:</w:t>
      </w:r>
      <w:r>
        <w:t xml:space="preserve"> </w:t>
      </w:r>
      <w:r>
        <w:t xml:space="preserve">“The models had known answers. The beach does not. Our labels, samples, and questions will help us investigate without pretending we already know.”</w:t>
      </w:r>
    </w:p>
    <w:p>
      <w:pPr>
        <w:pStyle w:val="BodyText"/>
      </w:pPr>
      <w:r>
        <w:t xml:space="preserve">Save each question for Monday’s question board. Speaking to the whole group is optional.</w:t>
      </w:r>
    </w:p>
    <w:bookmarkEnd w:id="28"/>
    <w:bookmarkEnd w:id="29"/>
    <w:bookmarkStart w:id="33" w:name="co-teaching-cues"/>
    <w:p>
      <w:pPr>
        <w:pStyle w:val="Heading2"/>
        <w:keepNext/>
        <w:keepLines/>
      </w:pPr>
      <w:r>
        <w:t xml:space="preserve">Co-Teaching Cues</w:t>
      </w:r>
    </w:p>
    <w:bookmarkStart w:id="30" w:name="piter"/>
    <w:p>
      <w:pPr>
        <w:pStyle w:val="Heading3"/>
        <w:keepNext/>
        <w:keepLines/>
      </w:pPr>
      <w:r>
        <w:t xml:space="preserve">Piter</w:t>
      </w:r>
    </w:p>
    <w:p>
      <w:pPr>
        <w:pStyle w:val="Compact"/>
        <w:numPr>
          <w:ilvl w:val="0"/>
          <w:numId w:val="1017"/>
        </w:numPr>
      </w:pPr>
      <w:r>
        <w:t xml:space="preserve">Show the agenda and launch one prompt at a time.</w:t>
      </w:r>
    </w:p>
    <w:p>
      <w:pPr>
        <w:pStyle w:val="Compact"/>
        <w:numPr>
          <w:ilvl w:val="0"/>
          <w:numId w:val="1017"/>
        </w:numPr>
      </w:pPr>
      <w:r>
        <w:t xml:space="preserve">Demonstrate the investigation in under five minutes.</w:t>
      </w:r>
    </w:p>
    <w:p>
      <w:pPr>
        <w:pStyle w:val="Compact"/>
        <w:numPr>
          <w:ilvl w:val="0"/>
          <w:numId w:val="1017"/>
        </w:numPr>
      </w:pPr>
      <w:r>
        <w:t xml:space="preserve">Protect the difference between observation, inference, and confirmation.</w:t>
      </w:r>
    </w:p>
    <w:p>
      <w:pPr>
        <w:pStyle w:val="Compact"/>
        <w:numPr>
          <w:ilvl w:val="0"/>
          <w:numId w:val="1017"/>
        </w:numPr>
      </w:pPr>
      <w:r>
        <w:t xml:space="preserve">Keep transitions visible and give a two-minute warning.</w:t>
      </w:r>
    </w:p>
    <w:bookmarkEnd w:id="30"/>
    <w:bookmarkStart w:id="31" w:name="aastha"/>
    <w:p>
      <w:pPr>
        <w:pStyle w:val="Heading3"/>
        <w:keepNext/>
        <w:keepLines/>
      </w:pPr>
      <w:r>
        <w:t xml:space="preserve">Aastha</w:t>
      </w:r>
    </w:p>
    <w:p>
      <w:pPr>
        <w:pStyle w:val="Compact"/>
        <w:numPr>
          <w:ilvl w:val="0"/>
          <w:numId w:val="1018"/>
        </w:numPr>
      </w:pPr>
      <w:r>
        <w:t xml:space="preserve">Manage jars, trays, response cards, and the emotional thermometer.</w:t>
      </w:r>
    </w:p>
    <w:p>
      <w:pPr>
        <w:pStyle w:val="Compact"/>
        <w:numPr>
          <w:ilvl w:val="0"/>
          <w:numId w:val="1018"/>
        </w:numPr>
      </w:pPr>
      <w:r>
        <w:t xml:space="preserve">Record campers’ exact words and chosen response modes.</w:t>
      </w:r>
    </w:p>
    <w:p>
      <w:pPr>
        <w:pStyle w:val="Compact"/>
        <w:numPr>
          <w:ilvl w:val="0"/>
          <w:numId w:val="1018"/>
        </w:numPr>
      </w:pPr>
      <w:r>
        <w:t xml:space="preserve">Check in proactively with campers who pause or appear unsure.</w:t>
      </w:r>
    </w:p>
    <w:p>
      <w:pPr>
        <w:pStyle w:val="Compact"/>
        <w:numPr>
          <w:ilvl w:val="0"/>
          <w:numId w:val="1018"/>
        </w:numPr>
      </w:pPr>
      <w:r>
        <w:t xml:space="preserve">Verify every model piece and sample jar is accounted for.</w:t>
      </w:r>
    </w:p>
    <w:bookmarkEnd w:id="31"/>
    <w:bookmarkStart w:id="32" w:name="both"/>
    <w:p>
      <w:pPr>
        <w:pStyle w:val="Heading3"/>
        <w:keepNext/>
        <w:keepLines/>
      </w:pPr>
      <w:r>
        <w:t xml:space="preserve">Both</w:t>
      </w:r>
    </w:p>
    <w:p>
      <w:pPr>
        <w:pStyle w:val="Compact"/>
        <w:numPr>
          <w:ilvl w:val="0"/>
          <w:numId w:val="1019"/>
        </w:numPr>
      </w:pPr>
      <w:r>
        <w:t xml:space="preserve">Keep explanations short and hands-on time long.</w:t>
      </w:r>
    </w:p>
    <w:p>
      <w:pPr>
        <w:pStyle w:val="Compact"/>
        <w:numPr>
          <w:ilvl w:val="0"/>
          <w:numId w:val="1019"/>
        </w:numPr>
      </w:pPr>
      <w:r>
        <w:t xml:space="preserve">Offer movement, seated, quiet, touch-free, partner, and pass routes.</w:t>
      </w:r>
    </w:p>
    <w:p>
      <w:pPr>
        <w:pStyle w:val="Compact"/>
        <w:numPr>
          <w:ilvl w:val="0"/>
          <w:numId w:val="1019"/>
        </w:numPr>
      </w:pPr>
      <w:r>
        <w:t xml:space="preserve">Never rank reading, speaking, speed, stamina, or accuracy as scientific ability.</w:t>
      </w:r>
    </w:p>
    <w:p>
      <w:pPr>
        <w:pStyle w:val="Compact"/>
        <w:numPr>
          <w:ilvl w:val="0"/>
          <w:numId w:val="1019"/>
        </w:numPr>
      </w:pPr>
      <w:r>
        <w:t xml:space="preserve">Use examples for task initiation while leaving room for original ideas.</w:t>
      </w:r>
    </w:p>
    <w:p>
      <w:pPr>
        <w:pStyle w:val="Compact"/>
        <w:numPr>
          <w:ilvl w:val="0"/>
          <w:numId w:val="1019"/>
        </w:numPr>
      </w:pPr>
      <w:r>
        <w:t xml:space="preserve">Prepare a meaningful extension for early finishers.</w:t>
      </w:r>
    </w:p>
    <w:bookmarkEnd w:id="32"/>
    <w:bookmarkEnd w:id="33"/>
    <w:bookmarkStart w:id="34" w:name="early-finisher-choices"/>
    <w:p>
      <w:pPr>
        <w:pStyle w:val="Heading2"/>
        <w:keepNext/>
        <w:keepLines/>
      </w:pPr>
      <w:r>
        <w:t xml:space="preserve">Early-Finisher Choices</w:t>
      </w:r>
    </w:p>
    <w:p>
      <w:pPr>
        <w:pStyle w:val="Compact"/>
        <w:numPr>
          <w:ilvl w:val="0"/>
          <w:numId w:val="1020"/>
        </w:numPr>
      </w:pPr>
      <w:r>
        <w:t xml:space="preserve">Photograph and label one non-identifying piece of evidence.</w:t>
      </w:r>
    </w:p>
    <w:p>
      <w:pPr>
        <w:pStyle w:val="Compact"/>
        <w:numPr>
          <w:ilvl w:val="0"/>
          <w:numId w:val="1020"/>
        </w:numPr>
      </w:pPr>
      <w:r>
        <w:t xml:space="preserve">Compare a second model jar and explain one difference.</w:t>
      </w:r>
    </w:p>
    <w:p>
      <w:pPr>
        <w:pStyle w:val="Compact"/>
        <w:numPr>
          <w:ilvl w:val="0"/>
          <w:numId w:val="1020"/>
        </w:numPr>
      </w:pPr>
      <w:r>
        <w:t xml:space="preserve">Check that sample and map labels match.</w:t>
      </w:r>
    </w:p>
    <w:p>
      <w:pPr>
        <w:pStyle w:val="Compact"/>
        <w:numPr>
          <w:ilvl w:val="0"/>
          <w:numId w:val="1020"/>
        </w:numPr>
      </w:pPr>
      <w:r>
        <w:t xml:space="preserve">Draw a possible pathway and mark it</w:t>
      </w:r>
      <w:r>
        <w:t xml:space="preserve"> </w:t>
      </w:r>
      <w:r>
        <w:rPr>
          <w:b/>
          <w:bCs/>
        </w:rPr>
        <w:t xml:space="preserve">SUPPORTED</w:t>
      </w:r>
      <w:r>
        <w:t xml:space="preserve">,</w:t>
      </w:r>
      <w:r>
        <w:t xml:space="preserve"> </w:t>
      </w:r>
      <w:r>
        <w:rPr>
          <w:b/>
          <w:bCs/>
        </w:rPr>
        <w:t xml:space="preserve">POSSIBLE</w:t>
      </w:r>
      <w:r>
        <w:t xml:space="preserve">, or</w:t>
      </w:r>
      <w:r>
        <w:t xml:space="preserve"> </w:t>
      </w:r>
      <w:r>
        <w:rPr>
          <w:b/>
          <w:bCs/>
        </w:rPr>
        <w:t xml:space="preserve">UNKNOWN</w:t>
      </w:r>
      <w:r>
        <w:t xml:space="preserve">.</w:t>
      </w:r>
    </w:p>
    <w:p>
      <w:pPr>
        <w:pStyle w:val="Compact"/>
        <w:numPr>
          <w:ilvl w:val="0"/>
          <w:numId w:val="1020"/>
        </w:numPr>
      </w:pPr>
      <w:r>
        <w:t xml:space="preserve">Help a peer only after asking whether support is wanted.</w:t>
      </w:r>
    </w:p>
    <w:bookmarkEnd w:id="34"/>
    <w:bookmarkStart w:id="35" w:name="safety-and-evidence-boundaries"/>
    <w:p>
      <w:pPr>
        <w:pStyle w:val="Heading2"/>
        <w:keepNext/>
        <w:keepLines/>
      </w:pPr>
      <w:r>
        <w:t xml:space="preserve">Safety And Evidence Boundaries</w:t>
      </w:r>
    </w:p>
    <w:p>
      <w:pPr>
        <w:pStyle w:val="Compact"/>
        <w:numPr>
          <w:ilvl w:val="0"/>
          <w:numId w:val="1021"/>
        </w:numPr>
      </w:pPr>
      <w:r>
        <w:rPr>
          <w:b/>
          <w:bCs/>
        </w:rPr>
        <w:t xml:space="preserve">Do not seed beach sand, release model pieces outdoors, or manufacture plastic dust.</w:t>
      </w:r>
    </w:p>
    <w:p>
      <w:pPr>
        <w:pStyle w:val="Compact"/>
        <w:numPr>
          <w:ilvl w:val="0"/>
          <w:numId w:val="1021"/>
        </w:numPr>
      </w:pPr>
      <w:r>
        <w:t xml:space="preserve">Open a model only in a wind-protected area over a tray; use sealed/photo evidence otherwise.</w:t>
      </w:r>
    </w:p>
    <w:p>
      <w:pPr>
        <w:pStyle w:val="Compact"/>
        <w:numPr>
          <w:ilvl w:val="0"/>
          <w:numId w:val="1021"/>
        </w:numPr>
      </w:pPr>
      <w:r>
        <w:t xml:space="preserve">Do not rinse model plastic or suspected particles into a drain.</w:t>
      </w:r>
    </w:p>
    <w:p>
      <w:pPr>
        <w:pStyle w:val="Compact"/>
        <w:numPr>
          <w:ilvl w:val="0"/>
          <w:numId w:val="1021"/>
        </w:numPr>
      </w:pPr>
      <w:r>
        <w:t xml:space="preserve">Keep prepared models, real samples, clean tools, and used tools separate.</w:t>
      </w:r>
    </w:p>
    <w:p>
      <w:pPr>
        <w:pStyle w:val="Compact"/>
        <w:numPr>
          <w:ilvl w:val="0"/>
          <w:numId w:val="1021"/>
        </w:numPr>
      </w:pPr>
      <w:r>
        <w:t xml:space="preserve">Use cleaned, recoverable materials; do not handle unknown sharp or contaminated waste.</w:t>
      </w:r>
    </w:p>
    <w:p>
      <w:pPr>
        <w:pStyle w:val="Compact"/>
        <w:numPr>
          <w:ilvl w:val="0"/>
          <w:numId w:val="1021"/>
        </w:numPr>
      </w:pPr>
      <w:r>
        <w:t xml:space="preserve">Detection is not proof of a particular route, dose, or health effect.</w:t>
      </w:r>
    </w:p>
    <w:p>
      <w:pPr>
        <w:pStyle w:val="Compact"/>
        <w:numPr>
          <w:ilvl w:val="0"/>
          <w:numId w:val="1021"/>
        </w:numPr>
      </w:pPr>
      <w:r>
        <w:t xml:space="preserve">A visible particle is not a confirmed polymer without an appropriate identification method.</w:t>
      </w:r>
    </w:p>
    <w:bookmarkEnd w:id="35"/>
    <w:bookmarkStart w:id="38" w:name="what-our-evidence-can-and-cannot-support"/>
    <w:p>
      <w:pPr>
        <w:pStyle w:val="Heading2"/>
        <w:keepNext/>
        <w:keepLines/>
      </w:pPr>
      <w:r>
        <w:t xml:space="preserve">What Our Evidence Can And Cannot Support</w:t>
      </w:r>
    </w:p>
    <w:bookmarkStart w:id="36" w:name="what-we-can-claim"/>
    <w:p>
      <w:pPr>
        <w:pStyle w:val="Heading3"/>
        <w:keepNext/>
        <w:keepLines/>
      </w:pPr>
      <w:r>
        <w:t xml:space="preserve">What We Can Claim</w:t>
      </w:r>
    </w:p>
    <w:p>
      <w:pPr>
        <w:pStyle w:val="Compact"/>
        <w:numPr>
          <w:ilvl w:val="0"/>
          <w:numId w:val="1022"/>
        </w:numPr>
      </w:pPr>
      <w:r>
        <w:t xml:space="preserve">🔵</w:t>
      </w:r>
      <w:r>
        <w:t xml:space="preserve"> </w:t>
      </w:r>
      <w:r>
        <w:rPr>
          <w:b/>
          <w:bCs/>
          <w:color w:val="2E74B5"/>
        </w:rPr>
        <w:t xml:space="preserve">SCIENCE:</w:t>
      </w:r>
      <w:r>
        <w:t xml:space="preserve"> </w:t>
      </w:r>
      <w:r>
        <w:t xml:space="preserve">Sand and other environmental materials can hide particles from a first visual inspection.</w:t>
      </w:r>
    </w:p>
    <w:p>
      <w:pPr>
        <w:pStyle w:val="Compact"/>
        <w:numPr>
          <w:ilvl w:val="0"/>
          <w:numId w:val="1022"/>
        </w:numPr>
      </w:pPr>
      <w:r>
        <w:t xml:space="preserve">🟢</w:t>
      </w:r>
      <w:r>
        <w:t xml:space="preserve"> </w:t>
      </w:r>
      <w:r>
        <w:rPr>
          <w:b/>
          <w:bCs/>
          <w:color w:val="2E7D32"/>
        </w:rPr>
        <w:t xml:space="preserve">EVIDENCE:</w:t>
      </w:r>
      <w:r>
        <w:t xml:space="preserve"> </w:t>
      </w:r>
      <w:r>
        <w:t xml:space="preserve">Campers’ first-look estimates may differ from the controlled known counts in MODEL A-D.</w:t>
      </w:r>
    </w:p>
    <w:p>
      <w:pPr>
        <w:pStyle w:val="Compact"/>
        <w:numPr>
          <w:ilvl w:val="0"/>
          <w:numId w:val="1022"/>
        </w:numPr>
      </w:pPr>
      <w:r>
        <w:t xml:space="preserve">🟢</w:t>
      </w:r>
      <w:r>
        <w:t xml:space="preserve"> </w:t>
      </w:r>
      <w:r>
        <w:rPr>
          <w:b/>
          <w:bCs/>
          <w:color w:val="2E7D32"/>
        </w:rPr>
        <w:t xml:space="preserve">EVIDENCE:</w:t>
      </w:r>
      <w:r>
        <w:t xml:space="preserve"> </w:t>
      </w:r>
      <w:r>
        <w:t xml:space="preserve">A consistent collection method and traceable labels make field-sample comparisons more defensible.</w:t>
      </w:r>
    </w:p>
    <w:p>
      <w:pPr>
        <w:pStyle w:val="Compact"/>
        <w:numPr>
          <w:ilvl w:val="0"/>
          <w:numId w:val="1022"/>
        </w:numPr>
      </w:pPr>
      <w:r>
        <w:t xml:space="preserve">🔵</w:t>
      </w:r>
      <w:r>
        <w:t xml:space="preserve"> </w:t>
      </w:r>
      <w:r>
        <w:rPr>
          <w:b/>
          <w:bCs/>
          <w:color w:val="2E74B5"/>
        </w:rPr>
        <w:t xml:space="preserve">SCIENCE:</w:t>
      </w:r>
      <w:r>
        <w:t xml:space="preserve"> </w:t>
      </w:r>
      <w:r>
        <w:t xml:space="preserve">Plastic can become smaller and move through connected Earth, living, and human systems.</w:t>
      </w:r>
    </w:p>
    <w:p>
      <w:pPr>
        <w:pStyle w:val="Compact"/>
        <w:numPr>
          <w:ilvl w:val="0"/>
          <w:numId w:val="1022"/>
        </w:numPr>
      </w:pPr>
      <w:r>
        <w:t xml:space="preserve">🟠</w:t>
      </w:r>
      <w:r>
        <w:t xml:space="preserve"> </w:t>
      </w:r>
      <w:r>
        <w:rPr>
          <w:b/>
          <w:bCs/>
          <w:color w:val="C65D00"/>
        </w:rPr>
        <w:t xml:space="preserve">JUSTICE/ACTION:</w:t>
      </w:r>
      <w:r>
        <w:t xml:space="preserve"> </w:t>
      </w:r>
      <w:r>
        <w:t xml:space="preserve">Product, infrastructure, monitoring, prevention, and cleanup decisions shape who can reduce plastic pathways.</w:t>
      </w:r>
    </w:p>
    <w:bookmarkEnd w:id="36"/>
    <w:bookmarkStart w:id="37" w:name="what-we-cannot-claim"/>
    <w:p>
      <w:pPr>
        <w:pStyle w:val="Heading3"/>
        <w:keepNext/>
        <w:keepLines/>
      </w:pPr>
      <w:r>
        <w:t xml:space="preserve">What We Cannot Claim</w:t>
      </w:r>
    </w:p>
    <w:p>
      <w:pPr>
        <w:pStyle w:val="Compact"/>
        <w:numPr>
          <w:ilvl w:val="0"/>
          <w:numId w:val="1023"/>
        </w:numPr>
      </w:pPr>
      <w:r>
        <w:rPr>
          <w:b/>
          <w:bCs/>
        </w:rPr>
        <w:t xml:space="preserve">We cannot claim that MODEL A-D represent the amount of plastic at Charlotte Beach or in any neighborhood.</w:t>
      </w:r>
    </w:p>
    <w:p>
      <w:pPr>
        <w:pStyle w:val="Compact"/>
        <w:numPr>
          <w:ilvl w:val="0"/>
          <w:numId w:val="1023"/>
        </w:numPr>
      </w:pPr>
      <w:r>
        <w:rPr>
          <w:b/>
          <w:bCs/>
        </w:rPr>
        <w:t xml:space="preserve">We cannot claim that a visible field particle is chemically confirmed plastic.</w:t>
      </w:r>
    </w:p>
    <w:p>
      <w:pPr>
        <w:pStyle w:val="Compact"/>
        <w:numPr>
          <w:ilvl w:val="0"/>
          <w:numId w:val="1023"/>
        </w:numPr>
      </w:pPr>
      <w:r>
        <w:rPr>
          <w:b/>
          <w:bCs/>
        </w:rPr>
        <w:t xml:space="preserve">We cannot claim that one observed particle’s exact source, travel route, dose, or health effect is known.</w:t>
      </w:r>
    </w:p>
    <w:p>
      <w:pPr>
        <w:pStyle w:val="Compact"/>
        <w:numPr>
          <w:ilvl w:val="0"/>
          <w:numId w:val="1023"/>
        </w:numPr>
      </w:pPr>
      <w:r>
        <w:rPr>
          <w:b/>
          <w:bCs/>
        </w:rPr>
        <w:t xml:space="preserve">We cannot claim that detection in selected human samples proves the same exposure or effect for everyone.</w:t>
      </w:r>
    </w:p>
    <w:p>
      <w:pPr>
        <w:pStyle w:val="Compact"/>
        <w:numPr>
          <w:ilvl w:val="0"/>
          <w:numId w:val="1023"/>
        </w:numPr>
      </w:pPr>
      <w:r>
        <w:rPr>
          <w:b/>
          <w:bCs/>
        </w:rPr>
        <w:t xml:space="preserve">We cannot claim that young people or families are individually responsible for systems they do not control.</w:t>
      </w:r>
    </w:p>
    <w:bookmarkEnd w:id="37"/>
    <w:bookmarkEnd w:id="38"/>
    <w:bookmarkStart w:id="39" w:name="facilitator-responses"/>
    <w:p>
      <w:pPr>
        <w:pStyle w:val="Heading2"/>
        <w:keepNext/>
        <w:keepLines/>
      </w:pPr>
      <w:r>
        <w:t xml:space="preserve">Facilitator Responses</w:t>
      </w:r>
    </w:p>
    <w:p>
      <w:pPr>
        <w:pStyle w:val="Compact"/>
        <w:numPr>
          <w:ilvl w:val="0"/>
          <w:numId w:val="1024"/>
        </w:numPr>
      </w:pPr>
      <w:r>
        <w:rPr>
          <w:b/>
          <w:bCs/>
        </w:rPr>
        <w:t xml:space="preserve">If a camper asks,</w:t>
      </w:r>
      <w:r>
        <w:rPr>
          <w:b/>
          <w:bCs/>
        </w:rPr>
        <w:t xml:space="preserve"> </w:t>
      </w:r>
      <w:r>
        <w:rPr>
          <w:b/>
          <w:bCs/>
        </w:rPr>
        <w:t xml:space="preserve">“Is this beach sand?”</w:t>
      </w:r>
      <w:r>
        <w:t xml:space="preserve"> </w:t>
      </w:r>
      <w:r>
        <w:t xml:space="preserve">Say:</w:t>
      </w:r>
      <w:r>
        <w:t xml:space="preserve"> </w:t>
      </w:r>
      <w:r>
        <w:t xml:space="preserve">“No. These are controlled models we built. The real samples are the ones we collect and label next.”</w:t>
      </w:r>
    </w:p>
    <w:p>
      <w:pPr>
        <w:pStyle w:val="Compact"/>
        <w:numPr>
          <w:ilvl w:val="0"/>
          <w:numId w:val="1024"/>
        </w:numPr>
      </w:pPr>
      <w:r>
        <w:rPr>
          <w:b/>
          <w:bCs/>
        </w:rPr>
        <w:t xml:space="preserve">If a camper says,</w:t>
      </w:r>
      <w:r>
        <w:rPr>
          <w:b/>
          <w:bCs/>
        </w:rPr>
        <w:t xml:space="preserve"> </w:t>
      </w:r>
      <w:r>
        <w:rPr>
          <w:b/>
          <w:bCs/>
        </w:rPr>
        <w:t xml:space="preserve">“That piece is microplastic.”</w:t>
      </w:r>
      <w:r>
        <w:t xml:space="preserve"> </w:t>
      </w:r>
      <w:r>
        <w:t xml:space="preserve">Say:</w:t>
      </w:r>
      <w:r>
        <w:t xml:space="preserve"> </w:t>
      </w:r>
      <w:r>
        <w:t xml:space="preserve">“It may be a suspected particle. What evidence would confirm what material it is?”</w:t>
      </w:r>
    </w:p>
    <w:p>
      <w:pPr>
        <w:pStyle w:val="Compact"/>
        <w:numPr>
          <w:ilvl w:val="0"/>
          <w:numId w:val="1024"/>
        </w:numPr>
      </w:pPr>
      <w:r>
        <w:rPr>
          <w:b/>
          <w:bCs/>
        </w:rPr>
        <w:t xml:space="preserve">If a camper asks,</w:t>
      </w:r>
      <w:r>
        <w:rPr>
          <w:b/>
          <w:bCs/>
        </w:rPr>
        <w:t xml:space="preserve"> </w:t>
      </w:r>
      <w:r>
        <w:rPr>
          <w:b/>
          <w:bCs/>
        </w:rPr>
        <w:t xml:space="preserve">“Is plastic hurting my body?”</w:t>
      </w:r>
      <w:r>
        <w:t xml:space="preserve"> </w:t>
      </w:r>
      <w:r>
        <w:t xml:space="preserve">Say:</w:t>
      </w:r>
      <w:r>
        <w:t xml:space="preserve"> </w:t>
      </w:r>
      <w:r>
        <w:t xml:space="preserve">“The evidence we are using shows detection in some samples. Scientists are still studying routes and effects, so we will not claim more than the evidence shows.”</w:t>
      </w:r>
    </w:p>
    <w:p>
      <w:pPr>
        <w:pStyle w:val="Compact"/>
        <w:numPr>
          <w:ilvl w:val="0"/>
          <w:numId w:val="1024"/>
        </w:numPr>
      </w:pPr>
      <w:r>
        <w:rPr>
          <w:b/>
          <w:bCs/>
        </w:rPr>
        <w:t xml:space="preserve">If uncertainty causes anxiety,</w:t>
      </w:r>
      <w:r>
        <w:t xml:space="preserve"> </w:t>
      </w:r>
      <w:r>
        <w:t xml:space="preserve">name what is known, what remains open, and what happens next. Do not promise that every scientific question will be resolved during camp.</w:t>
      </w:r>
    </w:p>
    <w:p>
      <w:pPr>
        <w:pStyle w:val="Compact"/>
        <w:numPr>
          <w:ilvl w:val="0"/>
          <w:numId w:val="1024"/>
        </w:numPr>
      </w:pPr>
      <w:r>
        <w:rPr>
          <w:b/>
          <w:bCs/>
        </w:rPr>
        <w:t xml:space="preserve">If time or energy drops,</w:t>
      </w:r>
      <w:r>
        <w:t xml:space="preserve"> </w:t>
      </w:r>
      <w:r>
        <w:t xml:space="preserve">protect the known-count reveal, evidence boundary, anchor, and one youth question. Reduce repetition, not access.</w:t>
      </w:r>
    </w:p>
    <w:bookmarkEnd w:id="39"/>
    <w:bookmarkStart w:id="40" w:name="twelve-minute-schedule-backup"/>
    <w:p>
      <w:pPr>
        <w:pStyle w:val="Heading2"/>
        <w:keepNext/>
        <w:keepLines/>
      </w:pPr>
      <w:r>
        <w:t xml:space="preserve">Twelve-Minute Schedule Backup</w:t>
      </w:r>
    </w:p>
    <w:p>
      <w:pPr>
        <w:pStyle w:val="FirstParagraph"/>
      </w:pPr>
      <w:r>
        <w:t xml:space="preserve">Use this only if instructors confirm a short rotation.</w:t>
      </w:r>
    </w:p>
    <w:p>
      <w:pPr>
        <w:pStyle w:val="Compact"/>
        <w:numPr>
          <w:ilvl w:val="0"/>
          <w:numId w:val="1025"/>
        </w:numPr>
      </w:pPr>
      <w:r>
        <w:rPr>
          <w:b/>
          <w:bCs/>
        </w:rPr>
        <w:t xml:space="preserve">1 minute:</w:t>
      </w:r>
      <w:r>
        <w:t xml:space="preserve"> </w:t>
      </w:r>
      <w:r>
        <w:t xml:space="preserve">Show FEEL -&gt; WATCH -&gt; PREDICT -&gt; LOOK -&gt; MAGNIFY -&gt; QUESTION and participation choices.</w:t>
      </w:r>
    </w:p>
    <w:p>
      <w:pPr>
        <w:pStyle w:val="Compact"/>
        <w:numPr>
          <w:ilvl w:val="0"/>
          <w:numId w:val="1025"/>
        </w:numPr>
      </w:pPr>
      <w:r>
        <w:rPr>
          <w:b/>
          <w:bCs/>
        </w:rPr>
        <w:t xml:space="preserve">2 minutes:</w:t>
      </w:r>
      <w:r>
        <w:t xml:space="preserve"> </w:t>
      </w:r>
      <w:r>
        <w:t xml:space="preserve">Ask one beach/emotion prompt and demonstrate the process.</w:t>
      </w:r>
    </w:p>
    <w:p>
      <w:pPr>
        <w:pStyle w:val="Compact"/>
        <w:numPr>
          <w:ilvl w:val="0"/>
          <w:numId w:val="1025"/>
        </w:numPr>
      </w:pPr>
      <w:r>
        <w:rPr>
          <w:b/>
          <w:bCs/>
        </w:rPr>
        <w:t xml:space="preserve">4 minutes:</w:t>
      </w:r>
      <w:r>
        <w:t xml:space="preserve"> </w:t>
      </w:r>
      <w:r>
        <w:t xml:space="preserve">Campers predict, inspect one sealed model, and compare with the known count/photo.</w:t>
      </w:r>
    </w:p>
    <w:p>
      <w:pPr>
        <w:pStyle w:val="Compact"/>
        <w:numPr>
          <w:ilvl w:val="0"/>
          <w:numId w:val="1025"/>
        </w:numPr>
      </w:pPr>
      <w:r>
        <w:rPr>
          <w:b/>
          <w:bCs/>
        </w:rPr>
        <w:t xml:space="preserve">3 minutes:</w:t>
      </w:r>
      <w:r>
        <w:t xml:space="preserve"> </w:t>
      </w:r>
      <w:r>
        <w:t xml:space="preserve">Collect or label one shared field sample using the agreed method.</w:t>
      </w:r>
    </w:p>
    <w:p>
      <w:pPr>
        <w:pStyle w:val="Compact"/>
        <w:numPr>
          <w:ilvl w:val="0"/>
          <w:numId w:val="1025"/>
        </w:numPr>
      </w:pPr>
      <w:r>
        <w:rPr>
          <w:b/>
          <w:bCs/>
        </w:rPr>
        <w:t xml:space="preserve">2 minutes:</w:t>
      </w:r>
      <w:r>
        <w:t xml:space="preserve"> </w:t>
      </w:r>
      <w:r>
        <w:t xml:space="preserve">Save one observation or question and close.</w:t>
      </w:r>
    </w:p>
    <w:p>
      <w:pPr>
        <w:pStyle w:val="FirstParagraph"/>
      </w:pPr>
      <w:r>
        <w:rPr>
          <w:b/>
          <w:bCs/>
          <w:color w:val="2E7D32"/>
        </w:rPr>
        <w:t xml:space="preserve">Protect the evidence limit, one youth question, and sample traceability if time is cut.</w:t>
      </w:r>
      <w:r>
        <w:t xml:space="preserve"> </w:t>
      </w:r>
      <w:r>
        <w:t xml:space="preserve">Reduce repetition, not access.</w:t>
      </w:r>
    </w:p>
    <w:bookmarkEnd w:id="40"/>
    <w:bookmarkStart w:id="41" w:name="after-the-session"/>
    <w:p>
      <w:pPr>
        <w:pStyle w:val="Heading2"/>
        <w:keepNext/>
        <w:keepLines/>
      </w:pPr>
      <w:r>
        <w:t xml:space="preserve">After The Session</w:t>
      </w:r>
    </w:p>
    <w:p>
      <w:pPr>
        <w:pStyle w:val="Compact"/>
        <w:numPr>
          <w:ilvl w:val="0"/>
          <w:numId w:val="1026"/>
        </w:numPr>
      </w:pPr>
      <w:r>
        <w:t xml:space="preserve">Count and seal all MODEL A-D pieces.</w:t>
      </w:r>
    </w:p>
    <w:p>
      <w:pPr>
        <w:pStyle w:val="Compact"/>
        <w:numPr>
          <w:ilvl w:val="0"/>
          <w:numId w:val="1027"/>
        </w:numPr>
      </w:pPr>
      <w:r>
        <w:t xml:space="preserve">Confirm SAMPLE 1-3 labels match the map and field notes.</w:t>
      </w:r>
    </w:p>
    <w:p>
      <w:pPr>
        <w:pStyle w:val="Compact"/>
        <w:numPr>
          <w:ilvl w:val="0"/>
          <w:numId w:val="1028"/>
        </w:numPr>
      </w:pPr>
      <w:r>
        <w:t xml:space="preserve">Store model and field materials separately.</w:t>
      </w:r>
    </w:p>
    <w:p>
      <w:pPr>
        <w:pStyle w:val="Compact"/>
        <w:numPr>
          <w:ilvl w:val="0"/>
          <w:numId w:val="1029"/>
        </w:numPr>
      </w:pPr>
      <w:r>
        <w:t xml:space="preserve">Photograph only non-identifying evidence permitted by the course/Freedom School rules.</w:t>
      </w:r>
    </w:p>
    <w:p>
      <w:pPr>
        <w:pStyle w:val="Compact"/>
        <w:numPr>
          <w:ilvl w:val="0"/>
          <w:numId w:val="1030"/>
        </w:numPr>
      </w:pPr>
      <w:r>
        <w:t xml:space="preserve">Move campers’ exact questions to Monday’s board.</w:t>
      </w:r>
    </w:p>
    <w:p>
      <w:pPr>
        <w:pStyle w:val="Compact"/>
        <w:numPr>
          <w:ilvl w:val="0"/>
          <w:numId w:val="1031"/>
        </w:numPr>
      </w:pPr>
      <w:r>
        <w:t xml:space="preserve">Record one access change and one materials task for Monday, with an owner.</w:t>
      </w:r>
    </w:p>
    <w:bookmarkEnd w:id="41"/>
    <w:bookmarkStart w:id="46" w:name="visual-connection"/>
    <w:p>
      <w:pPr>
        <w:pStyle w:val="Heading2"/>
        <w:keepNext/>
        <w:keepLines/>
      </w:pPr>
      <w:r>
        <w:t xml:space="preserve">Visual Connection</w:t>
      </w:r>
    </w:p>
    <w:p>
      <w:pPr>
        <w:pStyle w:val="CaptionedFigure"/>
      </w:pPr>
      <w:r>
        <w:drawing>
          <wp:inline>
            <wp:extent cx="5334000" cy="1896533"/>
            <wp:effectExtent b="0" l="0" r="0" t="0"/>
            <wp:docPr descr="Invisible Invaders before, during, and after sample model" title="" id="43" name="Picture"/>
            <a:graphic>
              <a:graphicData uri="http://schemas.openxmlformats.org/drawingml/2006/picture">
                <pic:pic>
                  <pic:nvPicPr>
                    <pic:cNvPr descr="../../public-artifacts/invisible-invaders-sample-model-panels.png" id="44" name="Picture"/>
                    <pic:cNvPicPr>
                      <a:picLocks noChangeArrowheads="1" noChangeAspect="1"/>
                    </pic:cNvPicPr>
                  </pic:nvPicPr>
                  <pic:blipFill>
                    <a:blip r:embed="rId42"/>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Invisible Invaders before, during, and after sample model</w:t>
      </w:r>
    </w:p>
    <w:p>
      <w:pPr>
        <w:pStyle w:val="BodyText"/>
      </w:pPr>
      <w:hyperlink r:id="rId45">
        <w:r>
          <w:rPr>
            <w:rStyle w:val="Hyperlink"/>
          </w:rPr>
          <w:t xml:space="preserve">Open the full-size sample-model visual</w:t>
        </w:r>
      </w:hyperlink>
    </w:p>
    <w:p>
      <w:pPr>
        <w:pStyle w:val="BodyText"/>
      </w:pPr>
      <w:r>
        <w:rPr>
          <w:b/>
          <w:bCs/>
        </w:rPr>
        <w:t xml:space="preserve">This visual previews the week’s model; it is not a completed answer for campers.</w:t>
      </w:r>
      <w:r>
        <w:t xml:space="preserve"> </w:t>
      </w:r>
      <w:r>
        <w:t xml:space="preserve">Friday begins with evidence and questions. Monday through Thursday add and revise the pathway.</w:t>
      </w:r>
    </w:p>
    <w:bookmarkEnd w:id="46"/>
    <w:bookmarkStart w:id="54" w:name="trusted-sources-and-working-documents"/>
    <w:p>
      <w:pPr>
        <w:pStyle w:val="Heading2"/>
        <w:keepNext/>
        <w:keepLines/>
      </w:pPr>
      <w:r>
        <w:t xml:space="preserve">Trusted Sources And Working Documents</w:t>
      </w:r>
    </w:p>
    <w:p>
      <w:pPr>
        <w:pStyle w:val="Compact"/>
        <w:numPr>
          <w:ilvl w:val="0"/>
          <w:numId w:val="1032"/>
        </w:numPr>
      </w:pPr>
      <w:hyperlink r:id="rId47">
        <w:r>
          <w:rPr>
            <w:rStyle w:val="Hyperlink"/>
          </w:rPr>
          <w:t xml:space="preserve">EPA Microplastic Beach Protocol</w:t>
        </w:r>
      </w:hyperlink>
    </w:p>
    <w:p>
      <w:pPr>
        <w:pStyle w:val="Compact"/>
        <w:numPr>
          <w:ilvl w:val="0"/>
          <w:numId w:val="1032"/>
        </w:numPr>
      </w:pPr>
      <w:hyperlink r:id="rId48">
        <w:r>
          <w:rPr>
            <w:rStyle w:val="Hyperlink"/>
          </w:rPr>
          <w:t xml:space="preserve">NOAA Marine Debris Program: Microplastics</w:t>
        </w:r>
      </w:hyperlink>
    </w:p>
    <w:p>
      <w:pPr>
        <w:pStyle w:val="Compact"/>
        <w:numPr>
          <w:ilvl w:val="0"/>
          <w:numId w:val="1032"/>
        </w:numPr>
      </w:pPr>
      <w:hyperlink r:id="rId49">
        <w:r>
          <w:rPr>
            <w:rStyle w:val="Hyperlink"/>
          </w:rPr>
          <w:t xml:space="preserve">EPA: Microplastics Research</w:t>
        </w:r>
      </w:hyperlink>
    </w:p>
    <w:p>
      <w:pPr>
        <w:pStyle w:val="Compact"/>
        <w:numPr>
          <w:ilvl w:val="0"/>
          <w:numId w:val="1032"/>
        </w:numPr>
      </w:pPr>
      <w:hyperlink r:id="rId50">
        <w:r>
          <w:rPr>
            <w:rStyle w:val="Hyperlink"/>
          </w:rPr>
          <w:t xml:space="preserve">FDA: Microplastics and Nanoplastics in Foods</w:t>
        </w:r>
      </w:hyperlink>
    </w:p>
    <w:p>
      <w:pPr>
        <w:pStyle w:val="Compact"/>
        <w:numPr>
          <w:ilvl w:val="0"/>
          <w:numId w:val="1032"/>
        </w:numPr>
      </w:pPr>
      <w:hyperlink r:id="rId51">
        <w:r>
          <w:rPr>
            <w:rStyle w:val="Hyperlink"/>
          </w:rPr>
          <w:t xml:space="preserve">CAST UDL Guidelines 3.0</w:t>
        </w:r>
      </w:hyperlink>
    </w:p>
    <w:p>
      <w:pPr>
        <w:pStyle w:val="Compact"/>
        <w:numPr>
          <w:ilvl w:val="0"/>
          <w:numId w:val="1032"/>
        </w:numPr>
      </w:pPr>
      <w:hyperlink r:id="rId52">
        <w:r>
          <w:rPr>
            <w:rStyle w:val="Hyperlink"/>
          </w:rPr>
          <w:t xml:space="preserve">Current Invisible Invaders Camp Operations Guide</w:t>
        </w:r>
      </w:hyperlink>
    </w:p>
    <w:p>
      <w:pPr>
        <w:pStyle w:val="Compact"/>
        <w:numPr>
          <w:ilvl w:val="0"/>
          <w:numId w:val="1032"/>
        </w:numPr>
      </w:pPr>
      <w:hyperlink r:id="rId53">
        <w:r>
          <w:rPr>
            <w:rStyle w:val="Hyperlink"/>
          </w:rPr>
          <w:t xml:space="preserve">Field Friday Daily Lesson Plan</w:t>
        </w:r>
      </w:hyperlink>
    </w:p>
    <w:bookmarkEnd w:id="54"/>
    <w:bookmarkStart w:id="55" w:name="ai-use-disclosure"/>
    <w:p>
      <w:pPr>
        <w:pStyle w:val="Heading2"/>
        <w:keepNext/>
        <w:keepLines/>
      </w:pPr>
      <w:r>
        <w:t xml:space="preserve">AI Use Disclosure</w:t>
      </w:r>
    </w:p>
    <w:p>
      <w:pPr>
        <w:pStyle w:val="FirstParagraph"/>
        <w:keepLines/>
      </w:pPr>
      <w:r>
        <w:t xml:space="preserve">AI was used under Piter Garcia’s supervision and guidance to make this guide more inclusive and accessible by organizing, structuring, formatting, cross-referencing, and clarifying the July 21 team planning. Piter provided and reviewed the content, decisions, inclusion requirements, and corrections. AI helped check causal and logistical gaps and validate direct sources. Piter remains responsible for the science, safety, representation of Aastha’s contributions, and what the team uses or submits.</w:t>
      </w:r>
    </w:p>
    <w:bookmarkEnd w:id="55"/>
    <w:bookmarkEnd w:id="56"/>
    <w:sectPr>
      <w:footerReference w:type="default" r:id="rId10"/>
      <w:footnotePr>
        <w:numRestart w:val="eachSect"/>
      </w:footnotePr>
      <w:pgSz w:w="12240" w:h="15840"/>
      <w:pgMar w:top="1080" w:bottom="1080" w:left="1440" w:right="1440" w:header="432"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00" w:lineRule="auto"/>
    </w:pPr>
    <w:rPr>
      <w:rFonts w:ascii="Calibri" w:hAnsi="Calibri"/>
      <w:color w:val="222222"/>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40" w:line="240" w:lineRule="auto" w:before="0"/>
      <w:contextualSpacing/>
      <w:jc w:val="center"/>
    </w:pPr>
    <w:rPr>
      <w:rFonts w:asciiTheme="majorHAnsi" w:cstheme="majorBidi" w:eastAsiaTheme="majorEastAsia" w:hAnsiTheme="majorHAnsi" w:ascii="Calibri" w:hAnsi="Calibri"/>
      <w:b/>
      <w:color w:val="2E74B5"/>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9" Type="http://schemas.openxmlformats.org/officeDocument/2006/relationships/hyperlink" Target="https://docs.google.com/document/d/16iqraS0TefwyGQdTOlp2s-sQnIWB6DgCOptWtB8vWJ0/edit" TargetMode="External"/><Relationship Id="rId52" Type="http://schemas.openxmlformats.org/officeDocument/2006/relationships/hyperlink" Target="https://docs.google.com/document/d/1LueJ9NX6MP257ywABKTDu-vVWVYzTwRnNDK8fgJx4e0/edit" TargetMode="External"/><Relationship Id="rId53" Type="http://schemas.openxmlformats.org/officeDocument/2006/relationships/hyperlink" Target="https://docs.google.com/document/d/1scrYMeSEja_MUvyx9DkV6EzKMpMOmHB4gz60fMOAFgg/edit" TargetMode="External"/><Relationship Id="rId45" Type="http://schemas.openxmlformats.org/officeDocument/2006/relationships/hyperlink" Target="https://drive.google.com/file/d/1iA1BeV_iE4AFTSAqduKPpbjLVHLc48K5/view" TargetMode="External"/><Relationship Id="rId48" Type="http://schemas.openxmlformats.org/officeDocument/2006/relationships/hyperlink" Target="https://marinedebris.noaa.gov/what-marine-debris/microplastics" TargetMode="External"/><Relationship Id="rId51" Type="http://schemas.openxmlformats.org/officeDocument/2006/relationships/hyperlink" Target="https://udlguidelines.cast.org/" TargetMode="External"/><Relationship Id="rId47" Type="http://schemas.openxmlformats.org/officeDocument/2006/relationships/hyperlink" Target="https://www.epa.gov/system/files/documents/2021-09/microplastic-beach-protocol_sept-2021.pdf" TargetMode="External"/><Relationship Id="rId49" Type="http://schemas.openxmlformats.org/officeDocument/2006/relationships/hyperlink" Target="https://www.epa.gov/water-research/microplastics-research" TargetMode="External"/><Relationship Id="rId50" Type="http://schemas.openxmlformats.org/officeDocument/2006/relationships/hyperlink" Target="https://www.fda.gov/food/environmental-contaminants-food/microplastics-and-nanoplastics-foods"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https://docs.google.com/document/d/16iqraS0TefwyGQdTOlp2s-sQnIWB6DgCOptWtB8vWJ0/edit" TargetMode="External"/><Relationship Id="rId52" Type="http://schemas.openxmlformats.org/officeDocument/2006/relationships/hyperlink" Target="https://docs.google.com/document/d/1LueJ9NX6MP257ywABKTDu-vVWVYzTwRnNDK8fgJx4e0/edit" TargetMode="External"/><Relationship Id="rId53" Type="http://schemas.openxmlformats.org/officeDocument/2006/relationships/hyperlink" Target="https://docs.google.com/document/d/1scrYMeSEja_MUvyx9DkV6EzKMpMOmHB4gz60fMOAFgg/edit" TargetMode="External"/><Relationship Id="rId45" Type="http://schemas.openxmlformats.org/officeDocument/2006/relationships/hyperlink" Target="https://drive.google.com/file/d/1iA1BeV_iE4AFTSAqduKPpbjLVHLc48K5/view" TargetMode="External"/><Relationship Id="rId48" Type="http://schemas.openxmlformats.org/officeDocument/2006/relationships/hyperlink" Target="https://marinedebris.noaa.gov/what-marine-debris/microplastics" TargetMode="External"/><Relationship Id="rId51" Type="http://schemas.openxmlformats.org/officeDocument/2006/relationships/hyperlink" Target="https://udlguidelines.cast.org/" TargetMode="External"/><Relationship Id="rId47" Type="http://schemas.openxmlformats.org/officeDocument/2006/relationships/hyperlink" Target="https://www.epa.gov/system/files/documents/2021-09/microplastic-beach-protocol_sept-2021.pdf" TargetMode="External"/><Relationship Id="rId49" Type="http://schemas.openxmlformats.org/officeDocument/2006/relationships/hyperlink" Target="https://www.epa.gov/water-research/microplastics-research" TargetMode="External"/><Relationship Id="rId50" Type="http://schemas.openxmlformats.org/officeDocument/2006/relationships/hyperlink" Target="https://www.fda.gov/food/environmental-contaminants-food/microplastics-and-nanoplastics-fo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Invaders: Field Friday Guide</dc:title>
  <dc:creator>Piter Garcia</dc:creator>
  <cp:keywords>EDU486, Invisible Invaders, accessibility, environmental justice, microplastics</cp:keywords>
  <dcterms:created xsi:type="dcterms:W3CDTF">2026-07-22T05:58:24Z</dcterms:created>
  <dcterms:modified xsi:type="dcterms:W3CDTF">2026-07-22T05:58:24Z</dcterms:modified>
  <dc:subject>EDU486 Invisible Invaders current camp planning</dc:subject>
  <dc:description>Updated July 22, 2026 under Piter Garcia's review and supervision.</dc:description>
</cp:coreProperties>
</file>

<file path=docProps/custom.xml><?xml version="1.0" encoding="utf-8"?>
<Properties xmlns="http://schemas.openxmlformats.org/officeDocument/2006/custom-properties" xmlns:vt="http://schemas.openxmlformats.org/officeDocument/2006/docPropsVTypes"/>
</file>