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79aa1369d735fdad67c6bb1385b3702ce2959ce"/>
    <w:p>
      <w:pPr>
        <w:pStyle w:val="Heading1"/>
      </w:pPr>
      <w:r>
        <w:t xml:space="preserve">Invisible Invaders: Plastics In Human Bodies</w:t>
      </w:r>
    </w:p>
    <w:p>
      <w:pPr>
        <w:pStyle w:val="FirstParagraph"/>
      </w:pPr>
      <w:r>
        <w:rPr>
          <w:b/>
          <w:bCs/>
        </w:rPr>
        <w:t xml:space="preserve">Team:</w:t>
      </w:r>
      <w:r>
        <w:t xml:space="preserve"> </w:t>
      </w:r>
      <w:r>
        <w:t xml:space="preserve">Piter Garcia and Aastha</w:t>
      </w:r>
    </w:p>
    <w:p>
      <w:pPr>
        <w:pStyle w:val="BodyText"/>
      </w:pPr>
      <w:r>
        <w:rPr>
          <w:b/>
          <w:bCs/>
        </w:rPr>
        <w:t xml:space="preserve">Shared working document:</w:t>
      </w:r>
      <w:r>
        <w:t xml:space="preserve"> </w:t>
      </w:r>
      <w:hyperlink r:id="rId9">
        <w:r>
          <w:rPr>
            <w:rStyle w:val="Hyperlink"/>
          </w:rPr>
          <w:t xml:space="preserve">Invisible Invaders’ Gapless Explanation</w:t>
        </w:r>
      </w:hyperlink>
    </w:p>
    <w:bookmarkStart w:id="10" w:name="current-anchoring-phenomenon"/>
    <w:p>
      <w:pPr>
        <w:pStyle w:val="Heading2"/>
      </w:pPr>
      <w:r>
        <w:t xml:space="preserve">Current Anchoring Phenomenon</w:t>
      </w:r>
    </w:p>
    <w:p>
      <w:pPr>
        <w:pStyle w:val="BlockText"/>
      </w:pPr>
      <w:r>
        <w:rPr>
          <w:b/>
          <w:bCs/>
        </w:rPr>
        <w:t xml:space="preserve">Humans aren’t trash cans, but we have plastics in our bodies.</w:t>
      </w:r>
    </w:p>
    <w:p>
      <w:pPr>
        <w:pStyle w:val="FirstParagraph"/>
      </w:pPr>
      <w:r>
        <w:t xml:space="preserve">This is the phenomenon Piter and Aastha confirmed on July 15. It replaces the earlier tire-based and parking-lot/classroom candidates.</w:t>
      </w:r>
    </w:p>
    <w:p>
      <w:pPr>
        <w:pStyle w:val="BodyText"/>
      </w:pPr>
      <w:r>
        <w:rPr>
          <w:b/>
          <w:bCs/>
        </w:rPr>
        <w:t xml:space="preserve">Driving question:</w:t>
      </w:r>
      <w:r>
        <w:t xml:space="preserve"> </w:t>
      </w:r>
      <w:r>
        <w:t xml:space="preserve">How can plastics from everyday materials become small enough to move through connected systems and reach human bodies, and what changes could reduce those pathways fairly?</w:t>
      </w:r>
    </w:p>
    <w:p>
      <w:pPr>
        <w:pStyle w:val="BodyText"/>
      </w:pPr>
      <w:r>
        <w:rPr>
          <w:b/>
          <w:bCs/>
        </w:rPr>
        <w:t xml:space="preserve">Evidence boundary:</w:t>
      </w:r>
      <w:r>
        <w:t xml:space="preserve"> </w:t>
      </w:r>
      <w:r>
        <w:t xml:space="preserve">Researchers have detected plastic particles in some human samples. Detection establishes presence in those samples; it does not prove that every person has the same exposure, identify every route into the body, or demonstrate a particular health effect.</w:t>
      </w:r>
    </w:p>
    <w:bookmarkEnd w:id="10"/>
    <w:bookmarkStart w:id="16" w:name="the-60-second-explanation"/>
    <w:p>
      <w:pPr>
        <w:pStyle w:val="Heading2"/>
      </w:pPr>
      <w:r>
        <w:t xml:space="preserve">The 60-Second Explanation</w:t>
      </w:r>
    </w:p>
    <w:p>
      <w:pPr>
        <w:numPr>
          <w:ilvl w:val="0"/>
          <w:numId w:val="1001"/>
        </w:numPr>
      </w:pPr>
      <w:r>
        <w:rPr>
          <w:b/>
          <w:bCs/>
        </w:rPr>
        <w:t xml:space="preserve">MATERIAL AND RELEASE [SCIENCE]:</w:t>
      </w:r>
      <w:r>
        <w:t xml:space="preserve"> </w:t>
      </w:r>
      <w:r>
        <w:t xml:space="preserve">Plastics are present in clothing, packaging, paint, furniture, food and drink containers, school materials, and many other products. Friction, washing, sunlight, heat, oxygen, and weathering can weaken these materials and release small fragments or fibers. Becoming smaller is not the same as disappearing. A plastic particle smaller than 5 millimeters is commonly called a microplastic.</w:t>
      </w:r>
      <w:r>
        <w:t xml:space="preserve"> </w:t>
      </w:r>
      <w:hyperlink r:id="rId11">
        <w:r>
          <w:rPr>
            <w:rStyle w:val="Hyperlink"/>
          </w:rPr>
          <w:t xml:space="preserve">NOAA: plastic fragmentation and persistence</w:t>
        </w:r>
      </w:hyperlink>
    </w:p>
    <w:p>
      <w:pPr>
        <w:numPr>
          <w:ilvl w:val="0"/>
          <w:numId w:val="1001"/>
        </w:numPr>
      </w:pPr>
      <w:r>
        <w:rPr>
          <w:b/>
          <w:bCs/>
        </w:rPr>
        <w:t xml:space="preserve">MOVEMENT THROUGH CONNECTED SYSTEMS [SCIENCE]:</w:t>
      </w:r>
      <w:r>
        <w:t xml:space="preserve"> </w:t>
      </w:r>
      <w:r>
        <w:t xml:space="preserve">Released particles can enter air, dust, soil, wastewater, rivers, food, and drinking water. Wind, ventilation, human activity, rain, runoff, and water systems can move particles away from where they were released. Earth systems and human infrastructure are connected, so one particle may cross several environments before it is detected. No single pathway explains every particle.</w:t>
      </w:r>
    </w:p>
    <w:p>
      <w:pPr>
        <w:numPr>
          <w:ilvl w:val="0"/>
          <w:numId w:val="1001"/>
        </w:numPr>
      </w:pPr>
      <w:r>
        <w:rPr>
          <w:b/>
          <w:bCs/>
        </w:rPr>
        <w:t xml:space="preserve">POSSIBLE ROUTES INTO PEOPLE [SCIENCE]:</w:t>
      </w:r>
      <w:r>
        <w:t xml:space="preserve"> </w:t>
      </w:r>
      <w:r>
        <w:t xml:space="preserve">People can encounter particles in air, food, and water. Particles in air may be inhaled, while particles in food or water may be ingested. These are possible exposure routes, but current studies cannot reconstruct the exact journey of every particle detected in a body.</w:t>
      </w:r>
      <w:r>
        <w:t xml:space="preserve"> </w:t>
      </w:r>
      <w:hyperlink r:id="rId12">
        <w:r>
          <w:rPr>
            <w:rStyle w:val="Hyperlink"/>
          </w:rPr>
          <w:t xml:space="preserve">WHO: microplastics in drinking water</w:t>
        </w:r>
      </w:hyperlink>
      <w:r>
        <w:t xml:space="preserve"> </w:t>
      </w:r>
      <w:r>
        <w:t xml:space="preserve">and</w:t>
      </w:r>
      <w:r>
        <w:t xml:space="preserve"> </w:t>
      </w:r>
      <w:hyperlink r:id="rId13">
        <w:r>
          <w:rPr>
            <w:rStyle w:val="Hyperlink"/>
          </w:rPr>
          <w:t xml:space="preserve">FDA: microplastics in foods</w:t>
        </w:r>
      </w:hyperlink>
    </w:p>
    <w:p>
      <w:pPr>
        <w:numPr>
          <w:ilvl w:val="0"/>
          <w:numId w:val="1001"/>
        </w:numPr>
      </w:pPr>
      <w:r>
        <w:rPr>
          <w:b/>
          <w:bCs/>
        </w:rPr>
        <w:t xml:space="preserve">DETECTION IN HUMAN SAMPLES [EVIDENCE]:</w:t>
      </w:r>
      <w:r>
        <w:t xml:space="preserve"> </w:t>
      </w:r>
      <w:r>
        <w:t xml:space="preserve">Researchers using chemical identification methods detected plastic particles in blood from a small study of 22 volunteers and in lung tissue from 13 surgical samples. These findings support the claim that plastic particles can reach sampled internal human fluids or tissues. They do not show that every person has the same particles, establish one universal source, or prove a specific health effect.</w:t>
      </w:r>
      <w:r>
        <w:t xml:space="preserve"> </w:t>
      </w:r>
      <w:hyperlink r:id="rId14">
        <w:r>
          <w:rPr>
            <w:rStyle w:val="Hyperlink"/>
          </w:rPr>
          <w:t xml:space="preserve">Blood study</w:t>
        </w:r>
      </w:hyperlink>
      <w:r>
        <w:t xml:space="preserve"> </w:t>
      </w:r>
      <w:r>
        <w:t xml:space="preserve">and</w:t>
      </w:r>
      <w:r>
        <w:t xml:space="preserve"> </w:t>
      </w:r>
      <w:hyperlink r:id="rId15">
        <w:r>
          <w:rPr>
            <w:rStyle w:val="Hyperlink"/>
          </w:rPr>
          <w:t xml:space="preserve">lung-tissue study</w:t>
        </w:r>
      </w:hyperlink>
    </w:p>
    <w:p>
      <w:pPr>
        <w:numPr>
          <w:ilvl w:val="0"/>
          <w:numId w:val="1001"/>
        </w:numPr>
      </w:pPr>
      <w:r>
        <w:rPr>
          <w:b/>
          <w:bCs/>
        </w:rPr>
        <w:t xml:space="preserve">SYSTEM CHANGE [JUSTICE/ACTION]:</w:t>
      </w:r>
      <w:r>
        <w:t xml:space="preserve"> </w:t>
      </w:r>
      <w:r>
        <w:t xml:space="preserve">Product design, manufacturing, purchasing, buildings, food and water systems, waste systems, research priorities, monitoring, and public policy shape where plastics are released and who receives protection. Individual families and young people do not control this whole system. Campers can use evidence to identify a system point, a decision-maker, a fair request, and an accessible way to advocate without blaming people who have fewer choices.</w:t>
      </w:r>
      <w:r>
        <w:t xml:space="preserve"> </w:t>
      </w:r>
      <w:hyperlink r:id="rId11">
        <w:r>
          <w:rPr>
            <w:rStyle w:val="Hyperlink"/>
          </w:rPr>
          <w:t xml:space="preserve">NOAA: prevention and removal</w:t>
        </w:r>
      </w:hyperlink>
    </w:p>
    <w:bookmarkEnd w:id="16"/>
    <w:bookmarkStart w:id="21" w:name="see-the-whole-path"/>
    <w:p>
      <w:pPr>
        <w:pStyle w:val="Heading2"/>
      </w:pPr>
      <w:r>
        <w:t xml:space="preserve">See The Whole Path</w:t>
      </w:r>
    </w:p>
    <w:p>
      <w:pPr>
        <w:pStyle w:val="CaptionedFigure"/>
      </w:pPr>
      <w:r>
        <w:drawing>
          <wp:inline>
            <wp:extent cx="5334000" cy="3123353"/>
            <wp:effectExtent b="0" l="0" r="0" t="0"/>
            <wp:docPr descr="A five-step pathway from plastic-containing materials through release, movement, and human-sample evidence to several youth-selected action routes" title="" id="18" name="Picture"/>
            <a:graphic>
              <a:graphicData uri="http://schemas.openxmlformats.org/drawingml/2006/picture">
                <pic:pic>
                  <pic:nvPicPr>
                    <pic:cNvPr descr="../../public-artifacts/invisible-invaders-evidence-to-agency-map.png" id="19" name="Picture"/>
                    <pic:cNvPicPr>
                      <a:picLocks noChangeArrowheads="1" noChangeAspect="1"/>
                    </pic:cNvPicPr>
                  </pic:nvPicPr>
                  <pic:blipFill>
                    <a:blip r:embed="rId17"/>
                    <a:stretch>
                      <a:fillRect/>
                    </a:stretch>
                  </pic:blipFill>
                  <pic:spPr bwMode="auto">
                    <a:xfrm>
                      <a:off x="0" y="0"/>
                      <a:ext cx="5334000" cy="3123353"/>
                    </a:xfrm>
                    <a:prstGeom prst="rect">
                      <a:avLst/>
                    </a:prstGeom>
                    <a:noFill/>
                    <a:ln w="9525">
                      <a:noFill/>
                      <a:headEnd/>
                      <a:tailEnd/>
                    </a:ln>
                  </pic:spPr>
                </pic:pic>
              </a:graphicData>
            </a:graphic>
          </wp:inline>
        </w:drawing>
      </w:r>
    </w:p>
    <w:p>
      <w:pPr>
        <w:pStyle w:val="ImageCaption"/>
      </w:pPr>
      <w:r>
        <w:t xml:space="preserve">A five-step pathway from plastic-containing materials through release, movement, and human-sample evidence to several youth-selected action routes</w:t>
      </w:r>
    </w:p>
    <w:p>
      <w:pPr>
        <w:pStyle w:val="BodyText"/>
      </w:pPr>
      <w:hyperlink r:id="rId20">
        <w:r>
          <w:rPr>
            <w:rStyle w:val="Hyperlink"/>
          </w:rPr>
          <w:t xml:space="preserve">Open the full-size editable visual</w:t>
        </w:r>
      </w:hyperlink>
      <w:r>
        <w:t xml:space="preserve">.</w:t>
      </w:r>
      <w:r>
        <w:t xml:space="preserve"> </w:t>
      </w:r>
      <w:r>
        <w:rPr>
          <w:i/>
          <w:iCs/>
        </w:rPr>
        <w:t xml:space="preserve">Numbered steps, labels, arrows, and shapes repeat the meaning so color is never the only cue.</w:t>
      </w:r>
    </w:p>
    <w:bookmarkEnd w:id="21"/>
    <w:bookmarkStart w:id="22" w:name="our-gapless-claim"/>
    <w:p>
      <w:pPr>
        <w:pStyle w:val="Heading2"/>
      </w:pPr>
      <w:r>
        <w:t xml:space="preserve">Our Gapless Claim</w:t>
      </w:r>
    </w:p>
    <w:p>
      <w:pPr>
        <w:pStyle w:val="FirstParagraph"/>
      </w:pPr>
      <w:r>
        <w:t xml:space="preserve">Plastic-containing materials can release fragments and fibers as they wear, wash, heat, or weather. Air, water, food systems, buildings, and human activity can move those particles across connected environments. Inhalation and ingestion are possible routes of exposure, and chemical analyses have detected plastic particles in some human blood and lung-tissue samples. Those detections do not establish one universal source or a specific health effect. Because release and movement are shaped by products, infrastructure, research, and policy, prevention and advocacy can target systems rather than blaming individual campers or families.</w:t>
      </w:r>
    </w:p>
    <w:bookmarkEnd w:id="22"/>
    <w:bookmarkStart w:id="23" w:name="our-four-gotta-haves"/>
    <w:p>
      <w:pPr>
        <w:pStyle w:val="Heading2"/>
      </w:pPr>
      <w:r>
        <w:t xml:space="preserve">Our Four Gotta-Haves</w:t>
      </w:r>
    </w:p>
    <w:p>
      <w:pPr>
        <w:pStyle w:val="Compact"/>
        <w:numPr>
          <w:ilvl w:val="0"/>
          <w:numId w:val="1002"/>
        </w:numPr>
      </w:pPr>
      <w:r>
        <w:rPr>
          <w:b/>
          <w:bCs/>
        </w:rPr>
        <w:t xml:space="preserve">Water transports materials.</w:t>
      </w:r>
      <w:r>
        <w:t xml:space="preserve"> </w:t>
      </w:r>
      <w:r>
        <w:t xml:space="preserve">Rain, runoff, wastewater, rivers, and water systems can move plastic fragments and fibers away from where they were released. Water is one possible pathway, not the only pathway.</w:t>
      </w:r>
    </w:p>
    <w:p>
      <w:pPr>
        <w:pStyle w:val="Compact"/>
        <w:numPr>
          <w:ilvl w:val="0"/>
          <w:numId w:val="1002"/>
        </w:numPr>
      </w:pPr>
      <w:r>
        <w:rPr>
          <w:b/>
          <w:bCs/>
        </w:rPr>
        <w:t xml:space="preserve">Living organisms respond to environmental conditions.</w:t>
      </w:r>
      <w:r>
        <w:t xml:space="preserve"> </w:t>
      </w:r>
      <w:r>
        <w:t xml:space="preserve">People and other organisms encounter materials in air, food, water, and their surroundings. Detection can show an interaction or possible exposure, but it does not automatically prove harm.</w:t>
      </w:r>
    </w:p>
    <w:p>
      <w:pPr>
        <w:pStyle w:val="Compact"/>
        <w:numPr>
          <w:ilvl w:val="0"/>
          <w:numId w:val="1002"/>
        </w:numPr>
      </w:pPr>
      <w:r>
        <w:rPr>
          <w:b/>
          <w:bCs/>
        </w:rPr>
        <w:t xml:space="preserve">Earth systems are interconnected.</w:t>
      </w:r>
      <w:r>
        <w:t xml:space="preserve"> </w:t>
      </w:r>
      <w:r>
        <w:t xml:space="preserve">Air, water, soil, buildings, food systems, organisms, and human activity exchange materials. A particle may cross several systems before researchers detect it.</w:t>
      </w:r>
    </w:p>
    <w:p>
      <w:pPr>
        <w:pStyle w:val="Compact"/>
        <w:numPr>
          <w:ilvl w:val="0"/>
          <w:numId w:val="1002"/>
        </w:numPr>
      </w:pPr>
      <w:r>
        <w:rPr>
          <w:b/>
          <w:bCs/>
        </w:rPr>
        <w:t xml:space="preserve">Human infrastructure influences natural systems.</w:t>
      </w:r>
      <w:r>
        <w:t xml:space="preserve"> </w:t>
      </w:r>
      <w:r>
        <w:t xml:space="preserve">Product design, purchasing, ventilation, drains, wastewater, waste collection, monitoring, and public policy can increase, redirect, capture, or prevent particle movement.</w:t>
      </w:r>
    </w:p>
    <w:bookmarkEnd w:id="23"/>
    <w:bookmarkStart w:id="24" w:name="what-we-will-not-claim"/>
    <w:p>
      <w:pPr>
        <w:pStyle w:val="Heading2"/>
      </w:pPr>
      <w:r>
        <w:t xml:space="preserve">What We Will Not Claim</w:t>
      </w:r>
    </w:p>
    <w:p>
      <w:pPr>
        <w:pStyle w:val="Compact"/>
        <w:numPr>
          <w:ilvl w:val="0"/>
          <w:numId w:val="1003"/>
        </w:numPr>
      </w:pPr>
      <w:r>
        <w:rPr>
          <w:b/>
          <w:bCs/>
        </w:rPr>
        <w:t xml:space="preserve">Detected is not universal:</w:t>
      </w:r>
      <w:r>
        <w:t xml:space="preserve"> </w:t>
      </w:r>
      <w:r>
        <w:t xml:space="preserve">two small studies do not prove that every person has the same particles or exposure.</w:t>
      </w:r>
    </w:p>
    <w:p>
      <w:pPr>
        <w:pStyle w:val="Compact"/>
        <w:numPr>
          <w:ilvl w:val="0"/>
          <w:numId w:val="1003"/>
        </w:numPr>
      </w:pPr>
      <w:r>
        <w:rPr>
          <w:b/>
          <w:bCs/>
        </w:rPr>
        <w:t xml:space="preserve">Detected is not proven harmful:</w:t>
      </w:r>
      <w:r>
        <w:t xml:space="preserve"> </w:t>
      </w:r>
      <w:r>
        <w:t xml:space="preserve">presence in a sample does not establish a particular disease or health outcome.</w:t>
      </w:r>
    </w:p>
    <w:p>
      <w:pPr>
        <w:pStyle w:val="Compact"/>
        <w:numPr>
          <w:ilvl w:val="0"/>
          <w:numId w:val="1003"/>
        </w:numPr>
      </w:pPr>
      <w:r>
        <w:rPr>
          <w:b/>
          <w:bCs/>
        </w:rPr>
        <w:t xml:space="preserve">A possible route is not a proven route:</w:t>
      </w:r>
      <w:r>
        <w:t xml:space="preserve"> </w:t>
      </w:r>
      <w:r>
        <w:t xml:space="preserve">air, food, and water are plausible pathways, but the origin and journey of each detected particle are not known.</w:t>
      </w:r>
    </w:p>
    <w:p>
      <w:pPr>
        <w:pStyle w:val="Compact"/>
        <w:numPr>
          <w:ilvl w:val="0"/>
          <w:numId w:val="1003"/>
        </w:numPr>
      </w:pPr>
      <w:r>
        <w:rPr>
          <w:b/>
          <w:bCs/>
        </w:rPr>
        <w:t xml:space="preserve">A visual observation is not chemical confirmation:</w:t>
      </w:r>
      <w:r>
        <w:t xml:space="preserve"> </w:t>
      </w:r>
      <w:r>
        <w:t xml:space="preserve">classroom microscopes can support size and shape observations, but polymer identification normally requires chemical methods.</w:t>
      </w:r>
    </w:p>
    <w:p>
      <w:pPr>
        <w:pStyle w:val="Compact"/>
        <w:numPr>
          <w:ilvl w:val="0"/>
          <w:numId w:val="1003"/>
        </w:numPr>
      </w:pPr>
      <w:r>
        <w:rPr>
          <w:b/>
          <w:bCs/>
        </w:rPr>
        <w:t xml:space="preserve">Individual choice is not system change:</w:t>
      </w:r>
      <w:r>
        <w:t xml:space="preserve"> </w:t>
      </w:r>
      <w:r>
        <w:t xml:space="preserve">families and youth cannot redesign products, food systems, buildings, research priorities, or public infrastructure by themselves.</w:t>
      </w:r>
    </w:p>
    <w:bookmarkEnd w:id="24"/>
    <w:bookmarkStart w:id="26" w:name="inclusion-changes-the-design"/>
    <w:p>
      <w:pPr>
        <w:pStyle w:val="Heading2"/>
      </w:pPr>
      <w:r>
        <w:t xml:space="preserve">Inclusion Changes The Design</w:t>
      </w:r>
    </w:p>
    <w:p>
      <w:pPr>
        <w:pStyle w:val="FirstParagraph"/>
      </w:pPr>
      <w:r>
        <w:t xml:space="preserve">Neurodivergent, chronically ill, disabled, multilingual, culturally diverse, and multiply identified campers should not have to tolerate pain, sensory overload, chemical exposure, public speaking, or one rigid technology to count as scientists.</w:t>
      </w:r>
      <w:r>
        <w:t xml:space="preserve"> </w:t>
      </w:r>
      <w:hyperlink r:id="rId25">
        <w:r>
          <w:rPr>
            <w:rStyle w:val="Hyperlink"/>
          </w:rPr>
          <w:t xml:space="preserve">CAST UDL Guidelines 3.0</w:t>
        </w:r>
      </w:hyperlink>
      <w:r>
        <w:t xml:space="preserve"> </w:t>
      </w:r>
      <w:r>
        <w:t xml:space="preserve">emphasizes learner choice, multiple media, flexible communication, accessible tools, interdependence, and attention to multiple and intersecting identities.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Access barrier</w:t>
            </w:r>
          </w:p>
        </w:tc>
        <w:tc>
          <w:tcPr/>
          <w:p>
            <w:pPr>
              <w:pStyle w:val="Compact"/>
            </w:pPr>
            <w:r>
              <w:t xml:space="preserve">Design response</w:t>
            </w:r>
          </w:p>
        </w:tc>
        <w:tc>
          <w:tcPr/>
          <w:p>
            <w:pPr>
              <w:pStyle w:val="Compact"/>
            </w:pPr>
            <w:r>
              <w:t xml:space="preserve">Shared rigorous goal</w:t>
            </w:r>
          </w:p>
        </w:tc>
      </w:tr>
      <w:tr>
        <w:tc>
          <w:tcPr/>
          <w:p>
            <w:pPr>
              <w:pStyle w:val="Compact"/>
            </w:pPr>
            <w:r>
              <w:t xml:space="preserve">Body-related content causes distress or dysphoria</w:t>
            </w:r>
          </w:p>
        </w:tc>
        <w:tc>
          <w:tcPr/>
          <w:p>
            <w:pPr>
              <w:pStyle w:val="Compact"/>
            </w:pPr>
            <w:r>
              <w:t xml:space="preserve">Give a content preview and an equivalent environment-only evidence route</w:t>
            </w:r>
          </w:p>
        </w:tc>
        <w:tc>
          <w:tcPr/>
          <w:p>
            <w:pPr>
              <w:pStyle w:val="Compact"/>
            </w:pPr>
            <w:r>
              <w:t xml:space="preserve">Distinguish evidence, inference, uncertainty, and action</w:t>
            </w:r>
          </w:p>
        </w:tc>
      </w:tr>
      <w:tr>
        <w:tc>
          <w:tcPr/>
          <w:p>
            <w:pPr>
              <w:pStyle w:val="Compact"/>
            </w:pPr>
            <w:r>
              <w:t xml:space="preserve">Speech, English dominance, or processing speed controls participation</w:t>
            </w:r>
          </w:p>
        </w:tc>
        <w:tc>
          <w:tcPr/>
          <w:p>
            <w:pPr>
              <w:pStyle w:val="Compact"/>
            </w:pPr>
            <w:r>
              <w:t xml:space="preserve">Offer speech, text, drawing, audio, home-language discussion, quiet partners, and wait time</w:t>
            </w:r>
          </w:p>
        </w:tc>
        <w:tc>
          <w:tcPr/>
          <w:p>
            <w:pPr>
              <w:pStyle w:val="Compact"/>
            </w:pPr>
            <w:r>
              <w:t xml:space="preserve">Build and justify a causal model</w:t>
            </w:r>
          </w:p>
        </w:tc>
      </w:tr>
      <w:tr>
        <w:tc>
          <w:tcPr/>
          <w:p>
            <w:pPr>
              <w:pStyle w:val="Compact"/>
            </w:pPr>
            <w:r>
              <w:t xml:space="preserve">Pain, fatigue, mobility, asthma, or chemical sensitivity controls access</w:t>
            </w:r>
          </w:p>
        </w:tc>
        <w:tc>
          <w:tcPr/>
          <w:p>
            <w:pPr>
              <w:pStyle w:val="Compact"/>
            </w:pPr>
            <w:r>
              <w:t xml:space="preserve">Offer seated and low-energy roles, breaks, sealed materials, remote viewing, and clean-air options</w:t>
            </w:r>
          </w:p>
        </w:tc>
        <w:tc>
          <w:tcPr/>
          <w:p>
            <w:pPr>
              <w:pStyle w:val="Compact"/>
            </w:pPr>
            <w:r>
              <w:t xml:space="preserve">Observe, compare, interpret, or document evidence</w:t>
            </w:r>
          </w:p>
        </w:tc>
      </w:tr>
      <w:tr>
        <w:tc>
          <w:tcPr/>
          <w:p>
            <w:pPr>
              <w:pStyle w:val="Compact"/>
            </w:pPr>
            <w:r>
              <w:t xml:space="preserve">Sensory load or working-memory demand hides thinking</w:t>
            </w:r>
          </w:p>
        </w:tc>
        <w:tc>
          <w:tcPr/>
          <w:p>
            <w:pPr>
              <w:pStyle w:val="Compact"/>
            </w:pPr>
            <w:r>
              <w:t xml:space="preserve">Use a visible agenda, one-step cards, repeated vocabulary, predictable transitions, and a quiet route</w:t>
            </w:r>
          </w:p>
        </w:tc>
        <w:tc>
          <w:tcPr/>
          <w:p>
            <w:pPr>
              <w:pStyle w:val="Compact"/>
            </w:pPr>
            <w:r>
              <w:t xml:space="preserve">Follow and revise the causal sequence</w:t>
            </w:r>
          </w:p>
        </w:tc>
      </w:tr>
      <w:tr>
        <w:tc>
          <w:tcPr/>
          <w:p>
            <w:pPr>
              <w:pStyle w:val="Compact"/>
            </w:pPr>
            <w:r>
              <w:t xml:space="preserve">One device becomes the gatekeeper</w:t>
            </w:r>
          </w:p>
        </w:tc>
        <w:tc>
          <w:tcPr/>
          <w:p>
            <w:pPr>
              <w:pStyle w:val="Compact"/>
            </w:pPr>
            <w:r>
              <w:t xml:space="preserve">Pair shared images and camera views with printed evidence cards and paper or digital records</w:t>
            </w:r>
          </w:p>
        </w:tc>
        <w:tc>
          <w:tcPr/>
          <w:p>
            <w:pPr>
              <w:pStyle w:val="Compact"/>
            </w:pPr>
            <w:r>
              <w:t xml:space="preserve">Evaluate the same evidence and limitations</w:t>
            </w:r>
          </w:p>
        </w:tc>
      </w:tr>
    </w:tbl>
    <w:bookmarkEnd w:id="26"/>
    <w:bookmarkStart w:id="27" w:name="camp-investigation-moves"/>
    <w:p>
      <w:pPr>
        <w:pStyle w:val="Heading2"/>
      </w:pPr>
      <w:r>
        <w:t xml:space="preserve">Camp Investigation Moves</w:t>
      </w:r>
    </w:p>
    <w:p>
      <w:pPr>
        <w:pStyle w:val="Compact"/>
        <w:numPr>
          <w:ilvl w:val="0"/>
          <w:numId w:val="1004"/>
        </w:numPr>
      </w:pPr>
      <w:r>
        <w:rPr>
          <w:b/>
          <w:bCs/>
        </w:rPr>
        <w:t xml:space="preserve">NOTICE [EVIDENCE]:</w:t>
      </w:r>
      <w:r>
        <w:t xml:space="preserve"> </w:t>
      </w:r>
      <w:r>
        <w:t xml:space="preserve">Encounter the human-sample evidence and sort what it shows, does not show, and makes us wonder.</w:t>
      </w:r>
    </w:p>
    <w:p>
      <w:pPr>
        <w:pStyle w:val="Compact"/>
        <w:numPr>
          <w:ilvl w:val="0"/>
          <w:numId w:val="1004"/>
        </w:numPr>
      </w:pPr>
      <w:r>
        <w:rPr>
          <w:b/>
          <w:bCs/>
        </w:rPr>
        <w:t xml:space="preserve">MODEL [SCIENCE/ACCESS]:</w:t>
      </w:r>
      <w:r>
        <w:t xml:space="preserve"> </w:t>
      </w:r>
      <w:r>
        <w:t xml:space="preserve">Build a first pathway from an everyday plastic-containing material through release, movement, and possible inhalation or ingestion.</w:t>
      </w:r>
    </w:p>
    <w:p>
      <w:pPr>
        <w:pStyle w:val="Compact"/>
        <w:numPr>
          <w:ilvl w:val="0"/>
          <w:numId w:val="1004"/>
        </w:numPr>
      </w:pPr>
      <w:r>
        <w:rPr>
          <w:b/>
          <w:bCs/>
        </w:rPr>
        <w:t xml:space="preserve">INVESTIGATE [EVIDENCE]:</w:t>
      </w:r>
      <w:r>
        <w:t xml:space="preserve"> </w:t>
      </w:r>
      <w:r>
        <w:t xml:space="preserve">Examine direct-source cards, scale models, environmental samples, or images and compare possible routes without claiming certainty that the evidence does not provide.</w:t>
      </w:r>
    </w:p>
    <w:p>
      <w:pPr>
        <w:pStyle w:val="Compact"/>
        <w:numPr>
          <w:ilvl w:val="0"/>
          <w:numId w:val="1004"/>
        </w:numPr>
      </w:pPr>
      <w:r>
        <w:rPr>
          <w:b/>
          <w:bCs/>
        </w:rPr>
        <w:t xml:space="preserve">REVISE [SCIENCE]:</w:t>
      </w:r>
      <w:r>
        <w:t xml:space="preserve"> </w:t>
      </w:r>
      <w:r>
        <w:t xml:space="preserve">Use the four-item gotta-have checklist to repair missing causal links and mark uncertainty.</w:t>
      </w:r>
    </w:p>
    <w:p>
      <w:pPr>
        <w:pStyle w:val="Compact"/>
        <w:numPr>
          <w:ilvl w:val="0"/>
          <w:numId w:val="1004"/>
        </w:numPr>
      </w:pPr>
      <w:r>
        <w:rPr>
          <w:b/>
          <w:bCs/>
        </w:rPr>
        <w:t xml:space="preserve">ADVOCATE [JUSTICE/ACTION]:</w:t>
      </w:r>
      <w:r>
        <w:t xml:space="preserve"> </w:t>
      </w:r>
      <w:r>
        <w:t xml:space="preserve">Choose a system point and real decision-maker, then create an evidence-matched request through art, image-led writing, audio, video, a model, or another accessible route.</w:t>
      </w:r>
    </w:p>
    <w:bookmarkEnd w:id="27"/>
    <w:bookmarkStart w:id="30" w:name="trusted-evidence-library"/>
    <w:p>
      <w:pPr>
        <w:pStyle w:val="Heading2"/>
      </w:pPr>
      <w:r>
        <w:t xml:space="preserve">Trusted Evidence Library</w:t>
      </w:r>
    </w:p>
    <w:p>
      <w:pPr>
        <w:pStyle w:val="Compact"/>
        <w:numPr>
          <w:ilvl w:val="0"/>
          <w:numId w:val="1005"/>
        </w:numPr>
      </w:pPr>
      <w:hyperlink r:id="rId11">
        <w:r>
          <w:rPr>
            <w:rStyle w:val="Hyperlink"/>
          </w:rPr>
          <w:t xml:space="preserve">NOAA: plastic fragmentation and persistence</w:t>
        </w:r>
      </w:hyperlink>
    </w:p>
    <w:p>
      <w:pPr>
        <w:pStyle w:val="Compact"/>
        <w:numPr>
          <w:ilvl w:val="0"/>
          <w:numId w:val="1005"/>
        </w:numPr>
      </w:pPr>
      <w:hyperlink r:id="rId12">
        <w:r>
          <w:rPr>
            <w:rStyle w:val="Hyperlink"/>
          </w:rPr>
          <w:t xml:space="preserve">WHO: microplastics in drinking water</w:t>
        </w:r>
      </w:hyperlink>
    </w:p>
    <w:p>
      <w:pPr>
        <w:pStyle w:val="Compact"/>
        <w:numPr>
          <w:ilvl w:val="0"/>
          <w:numId w:val="1005"/>
        </w:numPr>
      </w:pPr>
      <w:hyperlink r:id="rId13">
        <w:r>
          <w:rPr>
            <w:rStyle w:val="Hyperlink"/>
          </w:rPr>
          <w:t xml:space="preserve">FDA: microplastics in foods and current health-evidence limits</w:t>
        </w:r>
      </w:hyperlink>
    </w:p>
    <w:p>
      <w:pPr>
        <w:pStyle w:val="Compact"/>
        <w:numPr>
          <w:ilvl w:val="0"/>
          <w:numId w:val="1005"/>
        </w:numPr>
      </w:pPr>
      <w:hyperlink r:id="rId14">
        <w:r>
          <w:rPr>
            <w:rStyle w:val="Hyperlink"/>
          </w:rPr>
          <w:t xml:space="preserve">Leslie et al. (2022): plastic particles in human blood</w:t>
        </w:r>
      </w:hyperlink>
    </w:p>
    <w:p>
      <w:pPr>
        <w:pStyle w:val="Compact"/>
        <w:numPr>
          <w:ilvl w:val="0"/>
          <w:numId w:val="1005"/>
        </w:numPr>
      </w:pPr>
      <w:hyperlink r:id="rId15">
        <w:r>
          <w:rPr>
            <w:rStyle w:val="Hyperlink"/>
          </w:rPr>
          <w:t xml:space="preserve">Jenner et al. (2022): microplastics in human lung tissue</w:t>
        </w:r>
      </w:hyperlink>
    </w:p>
    <w:p>
      <w:pPr>
        <w:pStyle w:val="Compact"/>
        <w:numPr>
          <w:ilvl w:val="0"/>
          <w:numId w:val="1005"/>
        </w:numPr>
      </w:pPr>
      <w:hyperlink r:id="rId28">
        <w:r>
          <w:rPr>
            <w:rStyle w:val="Hyperlink"/>
          </w:rPr>
          <w:t xml:space="preserve">WHO: dietary and inhalation exposure evidence review</w:t>
        </w:r>
      </w:hyperlink>
    </w:p>
    <w:p>
      <w:pPr>
        <w:pStyle w:val="Compact"/>
        <w:numPr>
          <w:ilvl w:val="0"/>
          <w:numId w:val="1005"/>
        </w:numPr>
      </w:pPr>
      <w:hyperlink r:id="rId25">
        <w:r>
          <w:rPr>
            <w:rStyle w:val="Hyperlink"/>
          </w:rPr>
          <w:t xml:space="preserve">CAST UDL Guidelines 3.0</w:t>
        </w:r>
      </w:hyperlink>
    </w:p>
    <w:p>
      <w:pPr>
        <w:pStyle w:val="Compact"/>
        <w:numPr>
          <w:ilvl w:val="0"/>
          <w:numId w:val="1005"/>
        </w:numPr>
      </w:pPr>
      <w:hyperlink r:id="rId29">
        <w:r>
          <w:rPr>
            <w:rStyle w:val="Hyperlink"/>
          </w:rPr>
          <w:t xml:space="preserve">Ambitious Science Teaching</w:t>
        </w:r>
      </w:hyperlink>
    </w:p>
    <w:bookmarkEnd w:id="30"/>
    <w:bookmarkStart w:id="31" w:name="ai-use-disclosure"/>
    <w:p>
      <w:pPr>
        <w:pStyle w:val="Heading2"/>
      </w:pPr>
      <w:r>
        <w:t xml:space="preserve">AI Use Disclosure</w:t>
      </w:r>
    </w:p>
    <w:p>
      <w:pPr>
        <w:pStyle w:val="FirstParagraph"/>
      </w:pPr>
      <w:r>
        <w:t xml:space="preserve">I used OpenAI Codex on July 16, 2026 under my supervision and guidance to organize the phenomenon, causal explanation, direct sources, visual structure, and multiple access routes. I, Piter Garcia, provided, reviewed, and guided the content, including the correction that the human-body phenomenon replaced the earlier tire-based idea. AI supported structuring, source validation, accessibility, causal-gap checks, and visual communication. I remain responsible for the final science, language, representation of Aastha’s contributions, and what we use or submit.</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29" Target="https://ambitiousscienceteaching.org/get-started/" TargetMode="External" /><Relationship Type="http://schemas.openxmlformats.org/officeDocument/2006/relationships/hyperlink" Id="rId9" Target="https://docs.google.com/document/d/1IFu_y_sYbNeNs1K4J_lD6KS4I30f8wxggX4SS38acRI/edit?tab=t.0" TargetMode="External" /><Relationship Type="http://schemas.openxmlformats.org/officeDocument/2006/relationships/hyperlink" Id="rId11" Target="https://marinedebris.noaa.gov/what-marine-debris/plastic" TargetMode="External" /><Relationship Type="http://schemas.openxmlformats.org/officeDocument/2006/relationships/hyperlink" Id="rId15" Target="https://pubmed.ncbi.nlm.nih.gov/35364151/" TargetMode="External" /><Relationship Type="http://schemas.openxmlformats.org/officeDocument/2006/relationships/hyperlink" Id="rId14" Target="https://pubmed.ncbi.nlm.nih.gov/35367073/" TargetMode="External" /><Relationship Type="http://schemas.openxmlformats.org/officeDocument/2006/relationships/hyperlink" Id="rId25" Target="https://udlguidelines.cast.org/" TargetMode="External" /><Relationship Type="http://schemas.openxmlformats.org/officeDocument/2006/relationships/hyperlink" Id="rId13" Target="https://www.fda.gov/food/environmental-contaminants-food/microplastics-and-nanoplastics-foods" TargetMode="External" /><Relationship Type="http://schemas.openxmlformats.org/officeDocument/2006/relationships/hyperlink" Id="rId28" Target="https://www.who.int/publications/i/item/9789240054608" TargetMode="External" /><Relationship Type="http://schemas.openxmlformats.org/officeDocument/2006/relationships/hyperlink" Id="rId12" Target="https://www.who.int/publications/i/item/9789241516198" TargetMode="External" /><Relationship Type="http://schemas.openxmlformats.org/officeDocument/2006/relationships/hyperlink" Id="rId20" Target="invisible-invaders-evidence-to-agency-map.svg" TargetMode="External" /></Relationships>
</file>

<file path=word/_rels/footnotes.xml.rels><?xml version="1.0" encoding="UTF-8"?><Relationships xmlns="http://schemas.openxmlformats.org/package/2006/relationships"><Relationship Type="http://schemas.openxmlformats.org/officeDocument/2006/relationships/hyperlink" Id="rId29" Target="https://ambitiousscienceteaching.org/get-started/" TargetMode="External" /><Relationship Type="http://schemas.openxmlformats.org/officeDocument/2006/relationships/hyperlink" Id="rId9" Target="https://docs.google.com/document/d/1IFu_y_sYbNeNs1K4J_lD6KS4I30f8wxggX4SS38acRI/edit?tab=t.0" TargetMode="External" /><Relationship Type="http://schemas.openxmlformats.org/officeDocument/2006/relationships/hyperlink" Id="rId11" Target="https://marinedebris.noaa.gov/what-marine-debris/plastic" TargetMode="External" /><Relationship Type="http://schemas.openxmlformats.org/officeDocument/2006/relationships/hyperlink" Id="rId15" Target="https://pubmed.ncbi.nlm.nih.gov/35364151/" TargetMode="External" /><Relationship Type="http://schemas.openxmlformats.org/officeDocument/2006/relationships/hyperlink" Id="rId14" Target="https://pubmed.ncbi.nlm.nih.gov/35367073/" TargetMode="External" /><Relationship Type="http://schemas.openxmlformats.org/officeDocument/2006/relationships/hyperlink" Id="rId25" Target="https://udlguidelines.cast.org/" TargetMode="External" /><Relationship Type="http://schemas.openxmlformats.org/officeDocument/2006/relationships/hyperlink" Id="rId13" Target="https://www.fda.gov/food/environmental-contaminants-food/microplastics-and-nanoplastics-foods" TargetMode="External" /><Relationship Type="http://schemas.openxmlformats.org/officeDocument/2006/relationships/hyperlink" Id="rId28" Target="https://www.who.int/publications/i/item/9789240054608" TargetMode="External" /><Relationship Type="http://schemas.openxmlformats.org/officeDocument/2006/relationships/hyperlink" Id="rId12" Target="https://www.who.int/publications/i/item/9789241516198" TargetMode="External" /><Relationship Type="http://schemas.openxmlformats.org/officeDocument/2006/relationships/hyperlink" Id="rId20" Target="invisible-invaders-evidence-to-agency-map.sv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2026-07-16T07:06:25Z</dcterms:created>
  <dcterms:modified xsi:type="dcterms:W3CDTF">2026-07-16T07:06:25Z</dcterms:modified>
</cp:coreProperties>
</file>

<file path=docProps/custom.xml><?xml version="1.0" encoding="utf-8"?>
<Properties xmlns="http://schemas.openxmlformats.org/officeDocument/2006/custom-properties" xmlns:vt="http://schemas.openxmlformats.org/officeDocument/2006/docPropsVTypes"/>
</file>