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40"/>
      </w:pPr>
      <w:r>
        <w:rPr>
          <w:rFonts w:ascii="Arial" w:hAnsi="Arial"/>
          <w:b/>
          <w:i w:val="0"/>
          <w:color w:val="0F172A"/>
          <w:sz w:val="48"/>
        </w:rPr>
        <w:t>Fiber Fighters: Tiny Fibers, Big Systems</w:t>
      </w:r>
    </w:p>
    <w:p>
      <w:pPr>
        <w:widowControl/>
        <w:spacing w:after="200"/>
      </w:pPr>
      <w:r>
        <w:rPr>
          <w:rFonts w:ascii="Arial" w:hAnsi="Arial"/>
          <w:b/>
          <w:i w:val="0"/>
          <w:color w:val="475569"/>
          <w:sz w:val="21"/>
        </w:rPr>
        <w:t xml:space="preserve">Misong + Piter  |  </w:t>
      </w:r>
      <w:hyperlink r:id="rId9">
        <w:r>
          <w:rPr>
            <w:color w:val="2563A6"/>
            <w:u w:val="single"/>
            <w:rFonts w:ascii="Arial" w:hAnsi="Arial"/>
            <w:sz w:val="21"/>
          </w:rPr>
          <w:t>Open the shared Google Doc</w:t>
        </w:r>
      </w:hyperlink>
    </w:p>
    <w:tbl>
      <w:tblPr>
        <w:tblW w:type="auto" w:w="0"/>
        <w:jc w:val="center"/>
        <w:tblLayout w:type="fixed"/>
        <w:tblLook w:firstColumn="1" w:firstRow="1" w:lastColumn="0" w:lastRow="0" w:noHBand="0" w:noVBand="1" w:val="04A0"/>
      </w:tblPr>
      <w:tblGrid>
        <w:gridCol w:w="9936"/>
      </w:tblGrid>
      <w:tr>
        <w:tc>
          <w:tcPr>
            <w:tcW w:type="dxa" w:w="9360"/>
            <w:shd w:fill="E3F2FD"/>
            <w:tcBorders>
              <w:top w:val="single" w:sz="14" w:color="2563A6"/>
              <w:left w:val="single" w:sz="14" w:color="2563A6"/>
              <w:bottom w:val="single" w:sz="14" w:color="2563A6"/>
              <w:right w:val="single" w:sz="14" w:color="2563A6"/>
            </w:tcBorders>
            <w:tcMar>
              <w:top w:w="150" w:type="dxa"/>
              <w:start w:w="180" w:type="dxa"/>
              <w:bottom w:w="150" w:type="dxa"/>
              <w:end w:w="180" w:type="dxa"/>
            </w:tcMar>
          </w:tcPr>
          <w:p>
            <w:pPr>
              <w:spacing w:after="0"/>
            </w:pPr>
            <w:r>
              <w:rPr>
                <w:rFonts w:ascii="Arial" w:hAnsi="Arial"/>
                <w:b/>
                <w:i w:val="0"/>
                <w:color w:val="2563A6"/>
                <w:sz w:val="20"/>
              </w:rPr>
              <w:t>OUR QUESTION</w:t>
              <w:br/>
            </w:r>
            <w:r>
              <w:rPr>
                <w:rFonts w:ascii="Arial" w:hAnsi="Arial"/>
                <w:b/>
                <w:i w:val="0"/>
                <w:color w:val="0F172A"/>
                <w:sz w:val="30"/>
              </w:rPr>
              <w:t>How can fibers from clothing end up in water, fish, and food when we cannot even see them?</w:t>
            </w:r>
          </w:p>
        </w:tc>
        <w:trPr>
          <w:tblHeader/>
        </w:trPr>
      </w:tr>
    </w:tbl>
    <w:p>
      <w:pPr>
        <w:widowControl/>
      </w:pP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40"/>
            <w:shd w:fill="E8F5E9"/>
            <w:tcBorders>
              <w:top w:val="single" w:sz="8" w:color="2F6F3E"/>
              <w:left w:val="single" w:sz="8" w:color="2F6F3E"/>
              <w:bottom w:val="single" w:sz="8" w:color="2F6F3E"/>
              <w:right w:val="single" w:sz="8" w:color="2F6F3E"/>
            </w:tcBorders>
            <w:tcMar>
              <w:top w:w="90" w:type="dxa"/>
              <w:start w:w="90" w:type="dxa"/>
              <w:bottom w:w="90" w:type="dxa"/>
              <w:end w:w="90" w:type="dxa"/>
            </w:tcMar>
            <w:vAlign w:val="center"/>
          </w:tcPr>
          <w:p>
            <w:pPr>
              <w:spacing w:after="0"/>
              <w:jc w:val="center"/>
            </w:pPr>
            <w:r>
              <w:rPr>
                <w:rFonts w:ascii="Arial" w:hAnsi="Arial"/>
                <w:b/>
                <w:i w:val="0"/>
                <w:color w:val="2F6F3E"/>
                <w:sz w:val="19"/>
              </w:rPr>
              <w:t>SCIENCE</w:t>
              <w:br/>
            </w:r>
            <w:r>
              <w:rPr>
                <w:rFonts w:ascii="Arial" w:hAnsi="Arial"/>
                <w:b w:val="0"/>
                <w:i w:val="0"/>
                <w:color w:val="0F172A"/>
                <w:sz w:val="18"/>
              </w:rPr>
              <w:t>what happens</w:t>
            </w:r>
          </w:p>
        </w:tc>
        <w:tc>
          <w:tcPr>
            <w:tcW w:type="dxa" w:w="2340"/>
            <w:shd w:fill="E3F2FD"/>
            <w:tcBorders>
              <w:top w:val="single" w:sz="8" w:color="2563A6"/>
              <w:left w:val="single" w:sz="8" w:color="2563A6"/>
              <w:bottom w:val="single" w:sz="8" w:color="2563A6"/>
              <w:right w:val="single" w:sz="8" w:color="2563A6"/>
            </w:tcBorders>
            <w:tcMar>
              <w:top w:w="90" w:type="dxa"/>
              <w:start w:w="90" w:type="dxa"/>
              <w:bottom w:w="90" w:type="dxa"/>
              <w:end w:w="90" w:type="dxa"/>
            </w:tcMar>
            <w:vAlign w:val="center"/>
          </w:tcPr>
          <w:p>
            <w:pPr>
              <w:spacing w:after="0"/>
              <w:jc w:val="center"/>
            </w:pPr>
            <w:r>
              <w:rPr>
                <w:rFonts w:ascii="Arial" w:hAnsi="Arial"/>
                <w:b/>
                <w:i w:val="0"/>
                <w:color w:val="2563A6"/>
                <w:sz w:val="19"/>
              </w:rPr>
              <w:t>EVIDENCE</w:t>
              <w:br/>
            </w:r>
            <w:r>
              <w:rPr>
                <w:rFonts w:ascii="Arial" w:hAnsi="Arial"/>
                <w:b w:val="0"/>
                <w:i w:val="0"/>
                <w:color w:val="0F172A"/>
                <w:sz w:val="18"/>
              </w:rPr>
              <w:t>how we know</w:t>
            </w:r>
          </w:p>
        </w:tc>
        <w:tc>
          <w:tcPr>
            <w:tcW w:type="dxa" w:w="2340"/>
            <w:shd w:fill="F3E8FF"/>
            <w:tcBorders>
              <w:top w:val="single" w:sz="8" w:color="6D28D9"/>
              <w:left w:val="single" w:sz="8" w:color="6D28D9"/>
              <w:bottom w:val="single" w:sz="8" w:color="6D28D9"/>
              <w:right w:val="single" w:sz="8" w:color="6D28D9"/>
            </w:tcBorders>
            <w:tcMar>
              <w:top w:w="90" w:type="dxa"/>
              <w:start w:w="90" w:type="dxa"/>
              <w:bottom w:w="90" w:type="dxa"/>
              <w:end w:w="90" w:type="dxa"/>
            </w:tcMar>
            <w:vAlign w:val="center"/>
          </w:tcPr>
          <w:p>
            <w:pPr>
              <w:spacing w:after="0"/>
              <w:jc w:val="center"/>
            </w:pPr>
            <w:r>
              <w:rPr>
                <w:rFonts w:ascii="Arial" w:hAnsi="Arial"/>
                <w:b/>
                <w:i w:val="0"/>
                <w:color w:val="6D28D9"/>
                <w:sz w:val="19"/>
              </w:rPr>
              <w:t>ACCESS</w:t>
              <w:br/>
            </w:r>
            <w:r>
              <w:rPr>
                <w:rFonts w:ascii="Arial" w:hAnsi="Arial"/>
                <w:b w:val="0"/>
                <w:i w:val="0"/>
                <w:color w:val="0F172A"/>
                <w:sz w:val="18"/>
              </w:rPr>
              <w:t>ways in</w:t>
            </w:r>
          </w:p>
        </w:tc>
        <w:tc>
          <w:tcPr>
            <w:tcW w:type="dxa" w:w="2340"/>
            <w:shd w:fill="FFF4E5"/>
            <w:tcBorders>
              <w:top w:val="single" w:sz="8" w:color="B45309"/>
              <w:left w:val="single" w:sz="8" w:color="B45309"/>
              <w:bottom w:val="single" w:sz="8" w:color="B45309"/>
              <w:right w:val="single" w:sz="8" w:color="B45309"/>
            </w:tcBorders>
            <w:tcMar>
              <w:top w:w="90" w:type="dxa"/>
              <w:start w:w="90" w:type="dxa"/>
              <w:bottom w:w="90" w:type="dxa"/>
              <w:end w:w="90" w:type="dxa"/>
            </w:tcMar>
            <w:vAlign w:val="center"/>
          </w:tcPr>
          <w:p>
            <w:pPr>
              <w:spacing w:after="0"/>
              <w:jc w:val="center"/>
            </w:pPr>
            <w:r>
              <w:rPr>
                <w:rFonts w:ascii="Arial" w:hAnsi="Arial"/>
                <w:b/>
                <w:i w:val="0"/>
                <w:color w:val="B45309"/>
                <w:sz w:val="19"/>
              </w:rPr>
              <w:t>JUSTICE</w:t>
              <w:br/>
            </w:r>
            <w:r>
              <w:rPr>
                <w:rFonts w:ascii="Arial" w:hAnsi="Arial"/>
                <w:b w:val="0"/>
                <w:i w:val="0"/>
                <w:color w:val="0F172A"/>
                <w:sz w:val="18"/>
              </w:rPr>
              <w:t>power + action</w:t>
            </w:r>
          </w:p>
        </w:tc>
        <w:trPr>
          <w:tblHeader/>
        </w:trPr>
      </w:tr>
    </w:tbl>
    <w:p>
      <w:pPr>
        <w:pStyle w:val="Heading1"/>
        <w:keepNext/>
        <w:widowControl/>
      </w:pPr>
      <w:r>
        <w:rPr>
          <w:rFonts w:ascii="Arial" w:hAnsi="Arial"/>
          <w:b/>
          <w:i w:val="0"/>
          <w:color w:val="0F172A"/>
          <w:sz w:val="32"/>
        </w:rPr>
        <w:t>The 60-Second Explanation</w:t>
      </w:r>
    </w:p>
    <w:tbl>
      <w:tblPr>
        <w:tblW w:type="auto" w:w="0"/>
        <w:jc w:val="center"/>
        <w:tblLayout w:type="fixed"/>
        <w:tblLook w:firstColumn="1" w:firstRow="1" w:lastColumn="0" w:lastRow="0" w:noHBand="0" w:noVBand="1" w:val="04A0"/>
      </w:tblPr>
      <w:tblGrid>
        <w:gridCol w:w="4968"/>
        <w:gridCol w:w="4968"/>
      </w:tblGrid>
      <w:tr>
        <w:tc>
          <w:tcPr>
            <w:tcW w:type="dxa" w:w="4968"/>
            <w:shd w:fill="E8F5E9"/>
            <w:tcBorders>
              <w:top w:val="single" w:sz="10" w:color="2F6F3E"/>
              <w:left w:val="single" w:sz="10" w:color="2F6F3E"/>
              <w:bottom w:val="single" w:sz="10" w:color="2F6F3E"/>
              <w:right w:val="single" w:sz="10" w:color="2F6F3E"/>
            </w:tcBorders>
            <w:tcMar>
              <w:top w:w="105" w:type="dxa"/>
              <w:start w:w="120" w:type="dxa"/>
              <w:bottom w:w="105" w:type="dxa"/>
              <w:end w:w="120" w:type="dxa"/>
            </w:tcMar>
            <w:vAlign w:val="center"/>
          </w:tcPr>
          <w:p>
            <w:pPr>
              <w:spacing w:after="0"/>
            </w:pPr>
            <w:r>
              <w:rPr>
                <w:rFonts w:ascii="Arial" w:hAnsi="Arial"/>
                <w:b/>
                <w:i w:val="0"/>
                <w:color w:val="2F6F3E"/>
                <w:sz w:val="19"/>
              </w:rPr>
              <w:t>1  MATERIAL</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Polyester, nylon, acrylic, and spandex are synthetic polymers. A synthetic thread is a thin piece of plastic.  </w:t>
            </w:r>
            <w:hyperlink r:id="rId10">
              <w:r>
                <w:rPr>
                  <w:color w:val="2563A6"/>
                  <w:u w:val="single"/>
                  <w:rFonts w:ascii="Arial" w:hAnsi="Arial"/>
                  <w:sz w:val="21"/>
                </w:rPr>
                <w:t>NOAA evidence</w:t>
              </w:r>
            </w:hyperlink>
          </w:p>
        </w:tc>
        <w:trPr>
          <w:tblHeader/>
        </w:trPr>
      </w:tr>
      <w:tr>
        <w:tc>
          <w:tcPr>
            <w:tcW w:type="dxa" w:w="4968"/>
            <w:shd w:fill="E3F2FD"/>
            <w:tcBorders>
              <w:top w:val="single" w:sz="10" w:color="2563A6"/>
              <w:left w:val="single" w:sz="10" w:color="2563A6"/>
              <w:bottom w:val="single" w:sz="10" w:color="2563A6"/>
              <w:right w:val="single" w:sz="10" w:color="2563A6"/>
            </w:tcBorders>
            <w:tcMar>
              <w:top w:w="105" w:type="dxa"/>
              <w:start w:w="120" w:type="dxa"/>
              <w:bottom w:w="105" w:type="dxa"/>
              <w:end w:w="120" w:type="dxa"/>
            </w:tcMar>
            <w:vAlign w:val="center"/>
          </w:tcPr>
          <w:p>
            <w:pPr>
              <w:spacing w:after="0"/>
            </w:pPr>
            <w:r>
              <w:rPr>
                <w:rFonts w:ascii="Arial" w:hAnsi="Arial"/>
                <w:b/>
                <w:i w:val="0"/>
                <w:color w:val="2563A6"/>
                <w:sz w:val="19"/>
              </w:rPr>
              <w:t>2  RELEASE</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Wearing, washing, and drying create friction that loosens tiny fibers. Fibers under 5 millimeters are microplastics.  </w:t>
            </w:r>
            <w:hyperlink r:id="rId10">
              <w:r>
                <w:rPr>
                  <w:color w:val="2563A6"/>
                  <w:u w:val="single"/>
                  <w:rFonts w:ascii="Arial" w:hAnsi="Arial"/>
                  <w:sz w:val="21"/>
                </w:rPr>
                <w:t>NOAA evidence</w:t>
              </w:r>
            </w:hyperlink>
          </w:p>
        </w:tc>
      </w:tr>
      <w:tr>
        <w:tc>
          <w:tcPr>
            <w:tcW w:type="dxa" w:w="4968"/>
            <w:shd w:fill="E3F2FD"/>
            <w:tcBorders>
              <w:top w:val="single" w:sz="10" w:color="2563A6"/>
              <w:left w:val="single" w:sz="10" w:color="2563A6"/>
              <w:bottom w:val="single" w:sz="10" w:color="2563A6"/>
              <w:right w:val="single" w:sz="10" w:color="2563A6"/>
            </w:tcBorders>
            <w:tcMar>
              <w:top w:w="105" w:type="dxa"/>
              <w:start w:w="120" w:type="dxa"/>
              <w:bottom w:w="105" w:type="dxa"/>
              <w:end w:w="120" w:type="dxa"/>
            </w:tcMar>
            <w:vAlign w:val="center"/>
          </w:tcPr>
          <w:p>
            <w:pPr>
              <w:spacing w:after="0"/>
            </w:pPr>
            <w:r>
              <w:rPr>
                <w:rFonts w:ascii="Arial" w:hAnsi="Arial"/>
                <w:b/>
                <w:i w:val="0"/>
                <w:color w:val="2563A6"/>
                <w:sz w:val="19"/>
              </w:rPr>
              <w:t>3  TRANSPORT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Fibers can move through washing-machine wastewater, air, dust, runoff, and sludge.  </w:t>
            </w:r>
            <w:hyperlink r:id="rId11">
              <w:r>
                <w:rPr>
                  <w:color w:val="2563A6"/>
                  <w:u w:val="single"/>
                  <w:rFonts w:ascii="Arial" w:hAnsi="Arial"/>
                  <w:sz w:val="21"/>
                </w:rPr>
                <w:t>EPA evidence</w:t>
              </w:r>
            </w:hyperlink>
          </w:p>
        </w:tc>
      </w:tr>
      <w:tr>
        <w:tc>
          <w:tcPr>
            <w:tcW w:type="dxa" w:w="4968"/>
            <w:shd w:fill="E0F2F1"/>
            <w:tcBorders>
              <w:top w:val="single" w:sz="10" w:color="287271"/>
              <w:left w:val="single" w:sz="10" w:color="287271"/>
              <w:bottom w:val="single" w:sz="10" w:color="287271"/>
              <w:right w:val="single" w:sz="10" w:color="287271"/>
            </w:tcBorders>
            <w:tcMar>
              <w:top w:w="105" w:type="dxa"/>
              <w:start w:w="120" w:type="dxa"/>
              <w:bottom w:w="105" w:type="dxa"/>
              <w:end w:w="120" w:type="dxa"/>
            </w:tcMar>
            <w:vAlign w:val="center"/>
          </w:tcPr>
          <w:p>
            <w:pPr>
              <w:spacing w:after="0"/>
            </w:pPr>
            <w:r>
              <w:rPr>
                <w:rFonts w:ascii="Arial" w:hAnsi="Arial"/>
                <w:b/>
                <w:i w:val="0"/>
                <w:color w:val="287271"/>
                <w:sz w:val="19"/>
              </w:rPr>
              <w:t>4  TREATMENT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Wastewater treatment catches many fibers, but not all. Some leave in water; others remain in sludge.  </w:t>
            </w:r>
            <w:hyperlink r:id="rId12">
              <w:r>
                <w:rPr>
                  <w:color w:val="2563A6"/>
                  <w:u w:val="single"/>
                  <w:rFonts w:ascii="Arial" w:hAnsi="Arial"/>
                  <w:sz w:val="21"/>
                </w:rPr>
                <w:t>Peer-reviewed review</w:t>
              </w:r>
            </w:hyperlink>
          </w:p>
        </w:tc>
      </w:tr>
      <w:tr>
        <w:tc>
          <w:tcPr>
            <w:tcW w:type="dxa" w:w="4968"/>
            <w:shd w:fill="E8F5E9"/>
            <w:tcBorders>
              <w:top w:val="single" w:sz="10" w:color="2F6F3E"/>
              <w:left w:val="single" w:sz="10" w:color="2F6F3E"/>
              <w:bottom w:val="single" w:sz="10" w:color="2F6F3E"/>
              <w:right w:val="single" w:sz="10" w:color="2F6F3E"/>
            </w:tcBorders>
            <w:tcMar>
              <w:top w:w="105" w:type="dxa"/>
              <w:start w:w="120" w:type="dxa"/>
              <w:bottom w:w="105" w:type="dxa"/>
              <w:end w:w="120" w:type="dxa"/>
            </w:tcMar>
            <w:vAlign w:val="center"/>
          </w:tcPr>
          <w:p>
            <w:pPr>
              <w:spacing w:after="0"/>
            </w:pPr>
            <w:r>
              <w:rPr>
                <w:rFonts w:ascii="Arial" w:hAnsi="Arial"/>
                <w:b/>
                <w:i w:val="0"/>
                <w:color w:val="2F6F3E"/>
                <w:sz w:val="19"/>
              </w:rPr>
              <w:t>5  FOOD WEB</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Fibers can float, settle, wash ashore, or be eaten by wildlife, including zooplankton, shellfish, and fish.  </w:t>
            </w:r>
            <w:hyperlink r:id="rId10">
              <w:r>
                <w:rPr>
                  <w:color w:val="2563A6"/>
                  <w:u w:val="single"/>
                  <w:rFonts w:ascii="Arial" w:hAnsi="Arial"/>
                  <w:sz w:val="21"/>
                </w:rPr>
                <w:t>NOAA evidence</w:t>
              </w:r>
            </w:hyperlink>
          </w:p>
        </w:tc>
      </w:tr>
      <w:tr>
        <w:tc>
          <w:tcPr>
            <w:tcW w:type="dxa" w:w="4968"/>
            <w:shd w:fill="F3E8FF"/>
            <w:tcBorders>
              <w:top w:val="single" w:sz="10" w:color="6D28D9"/>
              <w:left w:val="single" w:sz="10" w:color="6D28D9"/>
              <w:bottom w:val="single" w:sz="10" w:color="6D28D9"/>
              <w:right w:val="single" w:sz="10" w:color="6D28D9"/>
            </w:tcBorders>
            <w:tcMar>
              <w:top w:w="105" w:type="dxa"/>
              <w:start w:w="120" w:type="dxa"/>
              <w:bottom w:w="105" w:type="dxa"/>
              <w:end w:w="120" w:type="dxa"/>
            </w:tcMar>
            <w:vAlign w:val="center"/>
          </w:tcPr>
          <w:p>
            <w:pPr>
              <w:spacing w:after="0"/>
            </w:pPr>
            <w:r>
              <w:rPr>
                <w:rFonts w:ascii="Arial" w:hAnsi="Arial"/>
                <w:b/>
                <w:i w:val="0"/>
                <w:color w:val="6D28D9"/>
                <w:sz w:val="19"/>
              </w:rPr>
              <w:t>6  EVIDENCE LIMIT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Finding microplastics in food shows exposure. It does not, by itself, prove a human health effect.  </w:t>
            </w:r>
            <w:hyperlink r:id="rId13">
              <w:r>
                <w:rPr>
                  <w:color w:val="2563A6"/>
                  <w:u w:val="single"/>
                  <w:rFonts w:ascii="Arial" w:hAnsi="Arial"/>
                  <w:sz w:val="21"/>
                </w:rPr>
                <w:t>FDA evidence</w:t>
              </w:r>
            </w:hyperlink>
          </w:p>
        </w:tc>
      </w:tr>
      <w:tr>
        <w:tc>
          <w:tcPr>
            <w:tcW w:type="dxa" w:w="4968"/>
            <w:shd w:fill="FFF4E5"/>
            <w:tcBorders>
              <w:top w:val="single" w:sz="10" w:color="B45309"/>
              <w:left w:val="single" w:sz="10" w:color="B45309"/>
              <w:bottom w:val="single" w:sz="10" w:color="B45309"/>
              <w:right w:val="single" w:sz="10" w:color="B45309"/>
            </w:tcBorders>
            <w:tcMar>
              <w:top w:w="105" w:type="dxa"/>
              <w:start w:w="120" w:type="dxa"/>
              <w:bottom w:w="105" w:type="dxa"/>
              <w:end w:w="120" w:type="dxa"/>
            </w:tcMar>
            <w:vAlign w:val="center"/>
          </w:tcPr>
          <w:p>
            <w:pPr>
              <w:spacing w:after="0"/>
            </w:pPr>
            <w:r>
              <w:rPr>
                <w:rFonts w:ascii="Arial" w:hAnsi="Arial"/>
                <w:b/>
                <w:i w:val="0"/>
                <w:color w:val="B45309"/>
                <w:sz w:val="19"/>
              </w:rPr>
              <w:t>7  SYSTEM CHANGE</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tcPr>
          <w:p>
            <w:pPr>
              <w:spacing w:after="0"/>
            </w:pPr>
            <w:r>
              <w:rPr>
                <w:rFonts w:ascii="Arial" w:hAnsi="Arial"/>
                <w:b w:val="0"/>
                <w:i w:val="0"/>
                <w:color w:val="0F172A"/>
                <w:sz w:val="21"/>
              </w:rPr>
              <w:t xml:space="preserve">Clothing design, production, wastewater systems, labor, policy, repair, and reuse all affect the pathway.  </w:t>
            </w:r>
            <w:hyperlink r:id="rId14">
              <w:r>
                <w:rPr>
                  <w:color w:val="2563A6"/>
                  <w:u w:val="single"/>
                  <w:rFonts w:ascii="Arial" w:hAnsi="Arial"/>
                  <w:sz w:val="21"/>
                </w:rPr>
                <w:t>UNEP evidence</w:t>
              </w:r>
            </w:hyperlink>
          </w:p>
        </w:tc>
      </w:tr>
    </w:tbl>
    <w:p>
      <w:pPr>
        <w:pStyle w:val="Heading1"/>
        <w:keepNext/>
        <w:widowControl/>
      </w:pPr>
      <w:r>
        <w:rPr>
          <w:rFonts w:ascii="Arial" w:hAnsi="Arial"/>
          <w:b/>
          <w:i w:val="0"/>
          <w:color w:val="0F172A"/>
          <w:sz w:val="32"/>
        </w:rPr>
        <w:t>See The Whole Path</w:t>
      </w:r>
    </w:p>
    <w:p>
      <w:pPr>
        <w:keepNext/>
        <w:widowControl/>
        <w:jc w:val="center"/>
      </w:pPr>
      <w:r>
        <w:drawing>
          <wp:inline xmlns:a="http://schemas.openxmlformats.org/drawingml/2006/main" xmlns:pic="http://schemas.openxmlformats.org/drawingml/2006/picture">
            <wp:extent cx="5943600" cy="3343275"/>
            <wp:docPr id="1" name="Picture 1" title="Fiber Fighters causal pathway" descr="Seven-step pathway from synthetic clothing through wear, washing, wastewater, treatment, waterways, organism ingestion, and possible human exposure. A caution states that detecting microplastics in food does not by itself prove a health effect."/>
            <wp:cNvGraphicFramePr>
              <a:graphicFrameLocks noChangeAspect="1"/>
            </wp:cNvGraphicFramePr>
            <a:graphic>
              <a:graphicData uri="http://schemas.openxmlformats.org/drawingml/2006/picture">
                <pic:pic>
                  <pic:nvPicPr>
                    <pic:cNvPr id="0" name="fiber-fighters-causal-chain.png"/>
                    <pic:cNvPicPr/>
                  </pic:nvPicPr>
                  <pic:blipFill>
                    <a:blip r:embed="rId15"/>
                    <a:stretch>
                      <a:fillRect/>
                    </a:stretch>
                  </pic:blipFill>
                  <pic:spPr>
                    <a:xfrm>
                      <a:off x="0" y="0"/>
                      <a:ext cx="5943600" cy="3343275"/>
                    </a:xfrm>
                    <a:prstGeom prst="rect"/>
                  </pic:spPr>
                </pic:pic>
              </a:graphicData>
            </a:graphic>
          </wp:inline>
        </w:drawing>
      </w:r>
    </w:p>
    <w:p>
      <w:pPr>
        <w:widowControl/>
        <w:spacing w:after="160"/>
        <w:jc w:val="center"/>
      </w:pPr>
      <w:r>
        <w:rPr>
          <w:rFonts w:ascii="Arial" w:hAnsi="Arial"/>
          <w:b w:val="0"/>
          <w:i/>
          <w:color w:val="475569"/>
          <w:sz w:val="18"/>
        </w:rPr>
        <w:t xml:space="preserve">Figure 1. Evidence-based pathway. </w:t>
      </w:r>
      <w:hyperlink r:id="rId10">
        <w:r>
          <w:rPr>
            <w:color w:val="2563A6"/>
            <w:u w:val="single"/>
            <w:rFonts w:ascii="Arial" w:hAnsi="Arial"/>
            <w:sz w:val="21"/>
          </w:rPr>
          <w:t>NOAA</w:t>
        </w:r>
      </w:hyperlink>
      <w:r>
        <w:rPr>
          <w:rFonts w:ascii="Arial" w:hAnsi="Arial"/>
          <w:b w:val="0"/>
          <w:i w:val="0"/>
          <w:color w:val="475569"/>
          <w:sz w:val="18"/>
        </w:rPr>
        <w:t xml:space="preserve"> | </w:t>
      </w:r>
      <w:hyperlink r:id="rId11">
        <w:r>
          <w:rPr>
            <w:color w:val="2563A6"/>
            <w:u w:val="single"/>
            <w:rFonts w:ascii="Arial" w:hAnsi="Arial"/>
            <w:sz w:val="21"/>
          </w:rPr>
          <w:t>EPA</w:t>
        </w:r>
      </w:hyperlink>
      <w:r>
        <w:rPr>
          <w:rFonts w:ascii="Arial" w:hAnsi="Arial"/>
          <w:b w:val="0"/>
          <w:i w:val="0"/>
          <w:color w:val="475569"/>
          <w:sz w:val="18"/>
        </w:rPr>
        <w:t xml:space="preserve"> | </w:t>
      </w:r>
      <w:hyperlink r:id="rId13">
        <w:r>
          <w:rPr>
            <w:color w:val="2563A6"/>
            <w:u w:val="single"/>
            <w:rFonts w:ascii="Arial" w:hAnsi="Arial"/>
            <w:sz w:val="21"/>
          </w:rPr>
          <w:t>FDA</w:t>
        </w:r>
      </w:hyperlink>
      <w:r>
        <w:rPr>
          <w:rFonts w:ascii="Arial" w:hAnsi="Arial"/>
          <w:b w:val="0"/>
          <w:i w:val="0"/>
          <w:color w:val="475569"/>
          <w:sz w:val="18"/>
        </w:rPr>
        <w:t xml:space="preserve"> | </w:t>
      </w:r>
      <w:hyperlink r:id="rId16">
        <w:r>
          <w:rPr>
            <w:color w:val="2563A6"/>
            <w:u w:val="single"/>
            <w:rFonts w:ascii="Arial" w:hAnsi="Arial"/>
            <w:sz w:val="21"/>
          </w:rPr>
          <w:t>WHO</w:t>
        </w:r>
      </w:hyperlink>
    </w:p>
    <w:tbl>
      <w:tblPr>
        <w:tblW w:type="auto" w:w="0"/>
        <w:jc w:val="center"/>
        <w:tblLayout w:type="fixed"/>
        <w:tblLook w:firstColumn="1" w:firstRow="1" w:lastColumn="0" w:lastRow="0" w:noHBand="0" w:noVBand="1" w:val="04A0"/>
      </w:tblPr>
      <w:tblGrid>
        <w:gridCol w:w="9936"/>
      </w:tblGrid>
      <w:tr>
        <w:tc>
          <w:tcPr>
            <w:tcW w:type="dxa" w:w="9360"/>
            <w:shd w:fill="F3E8FF"/>
            <w:tcBorders>
              <w:top w:val="single" w:sz="12" w:color="6D28D9"/>
              <w:left w:val="single" w:sz="12" w:color="6D28D9"/>
              <w:bottom w:val="single" w:sz="12" w:color="6D28D9"/>
              <w:right w:val="single" w:sz="12" w:color="6D28D9"/>
            </w:tcBorders>
            <w:tcMar>
              <w:top w:w="150" w:type="dxa"/>
              <w:start w:w="180" w:type="dxa"/>
              <w:bottom w:w="150" w:type="dxa"/>
              <w:end w:w="180" w:type="dxa"/>
            </w:tcMar>
          </w:tcPr>
          <w:p>
            <w:pPr>
              <w:spacing w:after="0"/>
            </w:pPr>
            <w:r>
              <w:rPr>
                <w:rFonts w:ascii="Arial" w:hAnsi="Arial"/>
                <w:b/>
                <w:i w:val="0"/>
                <w:color w:val="6D28D9"/>
                <w:sz w:val="20"/>
              </w:rPr>
              <w:t>OUR GAPLESS CLAIM</w:t>
              <w:br/>
            </w:r>
            <w:r>
              <w:rPr>
                <w:rFonts w:ascii="Arial" w:hAnsi="Arial"/>
                <w:b/>
                <w:i w:val="0"/>
                <w:color w:val="0F172A"/>
                <w:sz w:val="25"/>
              </w:rPr>
              <w:t>Synthetic clothing is plastic. Friction releases tiny fibers. Water, air, and waste systems move them. Wildlife may ingest them, and people may encounter them. Industry design and unequal power shape the problem, so solutions must include structural change as well as personal creativity.</w:t>
            </w:r>
          </w:p>
        </w:tc>
        <w:trPr>
          <w:tblHeader/>
        </w:trPr>
      </w:tr>
    </w:tbl>
    <w:p>
      <w:pPr>
        <w:pStyle w:val="Heading2"/>
        <w:keepNext/>
        <w:widowControl/>
      </w:pPr>
      <w:r>
        <w:rPr>
          <w:rFonts w:ascii="Arial" w:hAnsi="Arial"/>
          <w:b/>
          <w:i w:val="0"/>
          <w:color w:val="6D28D9"/>
          <w:sz w:val="26"/>
        </w:rPr>
        <w:t>What We Will Not Claim</w:t>
      </w:r>
    </w:p>
    <w:p>
      <w:pPr>
        <w:pStyle w:val="ListBullet"/>
        <w:widowControl/>
        <w:spacing w:after="80"/>
      </w:pPr>
      <w:r>
        <w:rPr>
          <w:rFonts w:ascii="Arial" w:hAnsi="Arial"/>
          <w:b/>
          <w:i w:val="0"/>
          <w:color w:val="6D28D9"/>
          <w:sz w:val="22"/>
        </w:rPr>
        <w:t xml:space="preserve">Possible is not automatic. </w:t>
      </w:r>
      <w:r>
        <w:rPr>
          <w:rFonts w:ascii="Arial" w:hAnsi="Arial"/>
          <w:b w:val="0"/>
          <w:i w:val="0"/>
          <w:color w:val="0F172A"/>
          <w:sz w:val="22"/>
        </w:rPr>
        <w:t>Not every fiber completes every step.</w:t>
      </w:r>
    </w:p>
    <w:p>
      <w:pPr>
        <w:pStyle w:val="ListBullet"/>
        <w:widowControl/>
        <w:spacing w:after="80"/>
      </w:pPr>
      <w:r>
        <w:rPr>
          <w:rFonts w:ascii="Arial" w:hAnsi="Arial"/>
          <w:b/>
          <w:i w:val="0"/>
          <w:color w:val="6D28D9"/>
          <w:sz w:val="22"/>
        </w:rPr>
        <w:t xml:space="preserve">Detected is not proven harmful. </w:t>
      </w:r>
      <w:r>
        <w:rPr>
          <w:rFonts w:ascii="Arial" w:hAnsi="Arial"/>
          <w:b w:val="0"/>
          <w:i w:val="0"/>
          <w:color w:val="0F172A"/>
          <w:sz w:val="22"/>
        </w:rPr>
        <w:t>Exposure evidence is not health-risk evidence.</w:t>
      </w:r>
    </w:p>
    <w:p>
      <w:pPr>
        <w:pStyle w:val="ListBullet"/>
        <w:widowControl/>
        <w:spacing w:after="80"/>
      </w:pPr>
      <w:r>
        <w:rPr>
          <w:rFonts w:ascii="Arial" w:hAnsi="Arial"/>
          <w:b/>
          <w:i w:val="0"/>
          <w:color w:val="6D28D9"/>
          <w:sz w:val="22"/>
        </w:rPr>
        <w:t xml:space="preserve">People are not the whole problem. </w:t>
      </w:r>
      <w:r>
        <w:rPr>
          <w:rFonts w:ascii="Arial" w:hAnsi="Arial"/>
          <w:b w:val="0"/>
          <w:i w:val="0"/>
          <w:color w:val="0F172A"/>
          <w:sz w:val="22"/>
        </w:rPr>
        <w:t>Individual purchasing cannot replace industry, infrastructure, and policy change.</w:t>
      </w:r>
    </w:p>
    <w:p>
      <w:pPr>
        <w:pStyle w:val="Heading1"/>
        <w:keepNext/>
        <w:widowControl/>
      </w:pPr>
      <w:r>
        <w:rPr>
          <w:rFonts w:ascii="Arial" w:hAnsi="Arial"/>
          <w:b/>
          <w:i w:val="0"/>
          <w:color w:val="6D28D9"/>
          <w:sz w:val="32"/>
        </w:rPr>
        <w:t>Inclusion Changes The Design</w:t>
      </w:r>
    </w:p>
    <w:p>
      <w:pPr>
        <w:widowControl/>
      </w:pPr>
      <w:r>
        <w:rPr>
          <w:rFonts w:ascii="Arial" w:hAnsi="Arial"/>
          <w:b w:val="0"/>
          <w:i w:val="0"/>
          <w:color w:val="0F172A"/>
          <w:sz w:val="22"/>
        </w:rPr>
        <w:t xml:space="preserve">Neurodivergent, chronically ill, disabled, multilingual, culturally diverse, and multiply identified campers should not have to overcome the activity before they can do the science. </w:t>
      </w:r>
      <w:hyperlink r:id="rId17">
        <w:r>
          <w:rPr>
            <w:color w:val="2563A6"/>
            <w:u w:val="single"/>
            <w:b/>
            <w:rFonts w:ascii="Arial" w:hAnsi="Arial"/>
            <w:sz w:val="21"/>
          </w:rPr>
          <w:t>CAST UDL Guidelines 3.0</w:t>
        </w:r>
      </w:hyperlink>
      <w:r>
        <w:rPr>
          <w:rFonts w:ascii="Arial" w:hAnsi="Arial"/>
          <w:b w:val="0"/>
          <w:i w:val="0"/>
          <w:color w:val="0F172A"/>
          <w:sz w:val="22"/>
        </w:rPr>
        <w:t xml:space="preserve"> emphasizes multiple and intersecting identities, multiple media, accessible tools, learner choice, belonging, and challenging exclusionary practices.</w:t>
      </w:r>
    </w:p>
    <w:p>
      <w:pPr>
        <w:keepNext/>
        <w:widowControl/>
        <w:jc w:val="center"/>
      </w:pPr>
      <w:r>
        <w:drawing>
          <wp:inline xmlns:a="http://schemas.openxmlformats.org/drawingml/2006/main" xmlns:pic="http://schemas.openxmlformats.org/drawingml/2006/picture">
            <wp:extent cx="5943600" cy="3343275"/>
            <wp:docPr id="2" name="Picture 2" title="Fiber Fighters access pathways" descr="Four flexible routes into one rigorous science goal: noticing evidence, recording evidence, making meaning, and contributing through sustainable roles. Access choices include microscope or camera, drawing or audio, home language, quiet partners, seated roles, and breaks."/>
            <wp:cNvGraphicFramePr>
              <a:graphicFrameLocks noChangeAspect="1"/>
            </wp:cNvGraphicFramePr>
            <a:graphic>
              <a:graphicData uri="http://schemas.openxmlformats.org/drawingml/2006/picture">
                <pic:pic>
                  <pic:nvPicPr>
                    <pic:cNvPr id="0" name="fiber-fighters-access-pathways.png"/>
                    <pic:cNvPicPr/>
                  </pic:nvPicPr>
                  <pic:blipFill>
                    <a:blip r:embed="rId18"/>
                    <a:stretch>
                      <a:fillRect/>
                    </a:stretch>
                  </pic:blipFill>
                  <pic:spPr>
                    <a:xfrm>
                      <a:off x="0" y="0"/>
                      <a:ext cx="5943600" cy="3343275"/>
                    </a:xfrm>
                    <a:prstGeom prst="rect"/>
                  </pic:spPr>
                </pic:pic>
              </a:graphicData>
            </a:graphic>
          </wp:inline>
        </w:drawing>
      </w:r>
    </w:p>
    <w:p>
      <w:pPr>
        <w:widowControl/>
        <w:spacing w:after="160"/>
        <w:jc w:val="center"/>
      </w:pPr>
      <w:r>
        <w:rPr>
          <w:rFonts w:ascii="Arial" w:hAnsi="Arial"/>
          <w:b w:val="0"/>
          <w:i/>
          <w:color w:val="475569"/>
          <w:sz w:val="18"/>
        </w:rPr>
        <w:t xml:space="preserve">Figure 2. Same science goal, multiple ways in. </w:t>
      </w:r>
      <w:hyperlink r:id="rId17">
        <w:r>
          <w:rPr>
            <w:color w:val="2563A6"/>
            <w:u w:val="single"/>
            <w:rFonts w:ascii="Arial" w:hAnsi="Arial"/>
            <w:sz w:val="21"/>
          </w:rPr>
          <w:t>CAST UDL Guidelines 3.0</w:t>
        </w:r>
      </w:hyperlink>
    </w:p>
    <w:p>
      <w:pPr>
        <w:pStyle w:val="Heading2"/>
        <w:keepNext/>
        <w:widowControl/>
      </w:pPr>
      <w:r>
        <w:rPr>
          <w:rFonts w:ascii="Arial" w:hAnsi="Arial"/>
          <w:b/>
          <w:i w:val="0"/>
          <w:color w:val="6D28D9"/>
          <w:sz w:val="26"/>
        </w:rPr>
        <w:t>Access Moves That Protect Rigor</w:t>
      </w:r>
    </w:p>
    <w:tbl>
      <w:tblPr>
        <w:tblW w:type="auto" w:w="0"/>
        <w:jc w:val="center"/>
        <w:tblLayout w:type="fixed"/>
        <w:tblLook w:firstColumn="1" w:firstRow="1" w:lastColumn="0" w:lastRow="0" w:noHBand="0" w:noVBand="1" w:val="04A0"/>
      </w:tblPr>
      <w:tblGrid>
        <w:gridCol w:w="3312"/>
        <w:gridCol w:w="3312"/>
        <w:gridCol w:w="3312"/>
      </w:tblGrid>
      <w:tr>
        <w:tc>
          <w:tcPr>
            <w:tcW w:type="dxa" w:w="2376"/>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BARRIER</w:t>
            </w:r>
          </w:p>
        </w:tc>
        <w:tc>
          <w:tcPr>
            <w:tcW w:type="dxa" w:w="3816"/>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DESIGN MOVE</w:t>
            </w:r>
          </w:p>
        </w:tc>
        <w:tc>
          <w:tcPr>
            <w:tcW w:type="dxa" w:w="3168"/>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RIGOR PROTECTED</w:t>
            </w:r>
          </w:p>
        </w:tc>
        <w:trPr>
          <w:tblHeader/>
        </w:trPr>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Speech or English dominance</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Speech, chat, drawing, audio, home language, quiet partner</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Explain causes and revise a model</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Pain, fatigue, mobility, standing</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Seated/low-energy roles, breaks, role changes, reachable materials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Handle, tally, or interpret evidence</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Sensory load or attention shifts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Visible agenda, one-step cards, predictable transitions, quiet options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Follow the investigation and explain revision</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One technology as gatekeeper</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Direct view + camera; paper + digital tally</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Observe, compare, and mark uncertainty</w:t>
            </w:r>
          </w:p>
        </w:tc>
      </w:tr>
    </w:tbl>
    <w:p>
      <w:pPr>
        <w:pStyle w:val="Heading1"/>
        <w:keepNext/>
        <w:widowControl/>
      </w:pPr>
      <w:r>
        <w:rPr>
          <w:rFonts w:ascii="Arial" w:hAnsi="Arial"/>
          <w:b/>
          <w:i w:val="0"/>
          <w:color w:val="0F172A"/>
          <w:sz w:val="32"/>
        </w:rPr>
        <w:t>Five Camp Moves</w:t>
      </w:r>
    </w:p>
    <w:p>
      <w:pPr>
        <w:widowControl/>
        <w:spacing w:after="80"/>
      </w:pPr>
      <w:r>
        <w:rPr>
          <w:rFonts w:ascii="Arial" w:hAnsi="Arial"/>
          <w:b/>
          <w:i w:val="0"/>
          <w:color w:val="2563A6"/>
          <w:sz w:val="21"/>
        </w:rPr>
        <w:t xml:space="preserve">1  NOTICE  </w:t>
      </w:r>
      <w:r>
        <w:rPr>
          <w:rFonts w:ascii="Arial" w:hAnsi="Arial"/>
          <w:b w:val="0"/>
          <w:i w:val="0"/>
          <w:color w:val="0F172A"/>
          <w:sz w:val="22"/>
        </w:rPr>
        <w:t>Examine clothing labels and ask what the material becomes when tiny pieces break away.</w:t>
      </w:r>
    </w:p>
    <w:p>
      <w:pPr>
        <w:widowControl/>
        <w:spacing w:after="80"/>
      </w:pPr>
      <w:r>
        <w:rPr>
          <w:rFonts w:ascii="Arial" w:hAnsi="Arial"/>
          <w:b/>
          <w:i w:val="0"/>
          <w:color w:val="6D28D9"/>
          <w:sz w:val="21"/>
        </w:rPr>
        <w:t xml:space="preserve">2  MODEL  </w:t>
      </w:r>
      <w:r>
        <w:rPr>
          <w:rFonts w:ascii="Arial" w:hAnsi="Arial"/>
          <w:b w:val="0"/>
          <w:i w:val="0"/>
          <w:color w:val="0F172A"/>
          <w:sz w:val="22"/>
        </w:rPr>
        <w:t>Build a first explanation with drawing, cards, objects, speech, text, or home language.</w:t>
      </w:r>
    </w:p>
    <w:p>
      <w:pPr>
        <w:widowControl/>
        <w:spacing w:after="80"/>
      </w:pPr>
      <w:r>
        <w:rPr>
          <w:rFonts w:ascii="Arial" w:hAnsi="Arial"/>
          <w:b/>
          <w:i w:val="0"/>
          <w:color w:val="2563A6"/>
          <w:sz w:val="21"/>
        </w:rPr>
        <w:t xml:space="preserve">3  INVESTIGATE  </w:t>
      </w:r>
      <w:r>
        <w:rPr>
          <w:rFonts w:ascii="Arial" w:hAnsi="Arial"/>
          <w:b w:val="0"/>
          <w:i w:val="0"/>
          <w:color w:val="0F172A"/>
          <w:sz w:val="22"/>
        </w:rPr>
        <w:t>Filter, examine, classify, tally, and mark uncertainty.</w:t>
      </w:r>
    </w:p>
    <w:p>
      <w:pPr>
        <w:widowControl/>
        <w:spacing w:after="80"/>
      </w:pPr>
      <w:r>
        <w:rPr>
          <w:rFonts w:ascii="Arial" w:hAnsi="Arial"/>
          <w:b/>
          <w:i w:val="0"/>
          <w:color w:val="2F6F3E"/>
          <w:sz w:val="21"/>
        </w:rPr>
        <w:t xml:space="preserve">4  REVISE  </w:t>
      </w:r>
      <w:r>
        <w:rPr>
          <w:rFonts w:ascii="Arial" w:hAnsi="Arial"/>
          <w:b w:val="0"/>
          <w:i w:val="0"/>
          <w:color w:val="0F172A"/>
          <w:sz w:val="22"/>
        </w:rPr>
        <w:t>Compare evidence with trusted sources and repair missing links.</w:t>
      </w:r>
    </w:p>
    <w:p>
      <w:pPr>
        <w:widowControl/>
        <w:spacing w:after="80"/>
      </w:pPr>
      <w:r>
        <w:rPr>
          <w:rFonts w:ascii="Arial" w:hAnsi="Arial"/>
          <w:b/>
          <w:i w:val="0"/>
          <w:color w:val="B45309"/>
          <w:sz w:val="21"/>
        </w:rPr>
        <w:t xml:space="preserve">5  ADVOCATE  </w:t>
      </w:r>
      <w:r>
        <w:rPr>
          <w:rFonts w:ascii="Arial" w:hAnsi="Arial"/>
          <w:b w:val="0"/>
          <w:i w:val="0"/>
          <w:color w:val="0F172A"/>
          <w:sz w:val="22"/>
        </w:rPr>
        <w:t>Use visible mending or reclaimed-textile art to tell a real audience what should change.</w:t>
      </w:r>
    </w:p>
    <w:p>
      <w:pPr>
        <w:widowControl/>
        <w:spacing w:after="160"/>
      </w:pPr>
      <w:r>
        <w:rPr>
          <w:rFonts w:ascii="Arial" w:hAnsi="Arial"/>
          <w:b/>
          <w:i w:val="0"/>
          <w:color w:val="0F172A"/>
          <w:sz w:val="20"/>
        </w:rPr>
        <w:t xml:space="preserve">Learning-sciences basis: </w:t>
      </w:r>
      <w:hyperlink r:id="rId19">
        <w:r>
          <w:rPr>
            <w:color w:val="2563A6"/>
            <w:u w:val="single"/>
            <w:rFonts w:ascii="Arial" w:hAnsi="Arial"/>
            <w:sz w:val="21"/>
          </w:rPr>
          <w:t>Ambitious Science Teaching</w:t>
        </w:r>
      </w:hyperlink>
      <w:r>
        <w:rPr>
          <w:rFonts w:ascii="Arial" w:hAnsi="Arial"/>
          <w:b w:val="0"/>
          <w:i w:val="0"/>
          <w:color w:val="0F172A"/>
          <w:sz w:val="20"/>
        </w:rPr>
        <w:t xml:space="preserve"> connects observable events to mechanisms without “magic” jumps.</w:t>
      </w:r>
    </w:p>
    <w:p>
      <w:pPr>
        <w:pStyle w:val="Heading1"/>
        <w:keepNext/>
        <w:widowControl/>
      </w:pPr>
      <w:r>
        <w:rPr>
          <w:rFonts w:ascii="Arial" w:hAnsi="Arial"/>
          <w:b/>
          <w:i w:val="0"/>
          <w:color w:val="B45309"/>
          <w:sz w:val="32"/>
        </w:rPr>
        <w:t>Why Clothing Requires A Multiple-Identities Lens</w:t>
      </w:r>
    </w:p>
    <w:p>
      <w:pPr>
        <w:widowControl/>
      </w:pPr>
      <w:r>
        <w:rPr>
          <w:rFonts w:ascii="Arial" w:hAnsi="Arial"/>
          <w:b w:val="0"/>
          <w:i w:val="0"/>
          <w:color w:val="0F172A"/>
          <w:sz w:val="22"/>
        </w:rPr>
        <w:t>Clothing can carry culture, religion, gender expression, disability access, sensory regulation, safety, money, family expectations, creativity, and belonging. We can investigate microfiber pollution without shaming people for wearing what is affordable, culturally meaningful, or physically tolerable. Misong’s connection between visible mending and Black punk history also lets campers see clothing as culture, resistance, activism, and joy, not only as waste.</w:t>
      </w:r>
    </w:p>
    <w:p>
      <w:pPr>
        <w:pStyle w:val="Heading1"/>
        <w:keepNext/>
        <w:widowControl/>
      </w:pPr>
      <w:r>
        <w:rPr>
          <w:rFonts w:ascii="Arial" w:hAnsi="Arial"/>
          <w:b/>
          <w:i w:val="0"/>
          <w:color w:val="0F172A"/>
          <w:sz w:val="32"/>
        </w:rPr>
        <w:t>Trusted Evidence Library</w:t>
      </w:r>
    </w:p>
    <w:p>
      <w:pPr>
        <w:pStyle w:val="ListBullet"/>
        <w:widowControl/>
        <w:spacing w:after="40"/>
      </w:pPr>
      <w:hyperlink r:id="rId10">
        <w:r>
          <w:rPr>
            <w:color w:val="2563A6"/>
            <w:u w:val="single"/>
            <w:rFonts w:ascii="Arial" w:hAnsi="Arial"/>
            <w:sz w:val="21"/>
          </w:rPr>
          <w:t>NOAA: Microplastics</w:t>
        </w:r>
      </w:hyperlink>
    </w:p>
    <w:p>
      <w:pPr>
        <w:pStyle w:val="ListBullet"/>
        <w:widowControl/>
        <w:spacing w:after="40"/>
      </w:pPr>
      <w:hyperlink r:id="rId11">
        <w:r>
          <w:rPr>
            <w:color w:val="2563A6"/>
            <w:u w:val="single"/>
            <w:rFonts w:ascii="Arial" w:hAnsi="Arial"/>
            <w:sz w:val="21"/>
          </w:rPr>
          <w:t>U.S. EPA: Plastic Products and Plastic Pollution</w:t>
        </w:r>
      </w:hyperlink>
    </w:p>
    <w:p>
      <w:pPr>
        <w:pStyle w:val="ListBullet"/>
        <w:widowControl/>
        <w:spacing w:after="40"/>
      </w:pPr>
      <w:hyperlink r:id="rId12">
        <w:r>
          <w:rPr>
            <w:color w:val="2563A6"/>
            <w:u w:val="single"/>
            <w:rFonts w:ascii="Arial" w:hAnsi="Arial"/>
            <w:sz w:val="21"/>
          </w:rPr>
          <w:t>Peer-reviewed wastewater-treatment review</w:t>
        </w:r>
      </w:hyperlink>
    </w:p>
    <w:p>
      <w:pPr>
        <w:pStyle w:val="ListBullet"/>
        <w:widowControl/>
        <w:spacing w:after="40"/>
      </w:pPr>
      <w:hyperlink r:id="rId13">
        <w:r>
          <w:rPr>
            <w:color w:val="2563A6"/>
            <w:u w:val="single"/>
            <w:rFonts w:ascii="Arial" w:hAnsi="Arial"/>
            <w:sz w:val="21"/>
          </w:rPr>
          <w:t>FDA: Microplastics and Nanoplastics in Foods</w:t>
        </w:r>
      </w:hyperlink>
    </w:p>
    <w:p>
      <w:pPr>
        <w:pStyle w:val="ListBullet"/>
        <w:widowControl/>
        <w:spacing w:after="40"/>
      </w:pPr>
      <w:hyperlink r:id="rId16">
        <w:r>
          <w:rPr>
            <w:color w:val="2563A6"/>
            <w:u w:val="single"/>
            <w:rFonts w:ascii="Arial" w:hAnsi="Arial"/>
            <w:sz w:val="21"/>
          </w:rPr>
          <w:t>WHO: Dietary and Inhalation Exposure to Microplastics</w:t>
        </w:r>
      </w:hyperlink>
    </w:p>
    <w:p>
      <w:pPr>
        <w:pStyle w:val="ListBullet"/>
        <w:widowControl/>
        <w:spacing w:after="40"/>
      </w:pPr>
      <w:hyperlink r:id="rId14">
        <w:r>
          <w:rPr>
            <w:color w:val="2563A6"/>
            <w:u w:val="single"/>
            <w:rFonts w:ascii="Arial" w:hAnsi="Arial"/>
            <w:sz w:val="21"/>
          </w:rPr>
          <w:t>UNEP: Textiles and Pollution</w:t>
        </w:r>
      </w:hyperlink>
    </w:p>
    <w:p>
      <w:pPr>
        <w:pStyle w:val="ListBullet"/>
        <w:widowControl/>
        <w:spacing w:after="40"/>
      </w:pPr>
      <w:hyperlink r:id="rId17">
        <w:r>
          <w:rPr>
            <w:color w:val="2563A6"/>
            <w:u w:val="single"/>
            <w:rFonts w:ascii="Arial" w:hAnsi="Arial"/>
            <w:sz w:val="21"/>
          </w:rPr>
          <w:t>CAST UDL Guidelines 3.0</w:t>
        </w:r>
      </w:hyperlink>
    </w:p>
    <w:p>
      <w:pPr>
        <w:pStyle w:val="ListBullet"/>
        <w:widowControl/>
        <w:spacing w:after="40"/>
      </w:pPr>
      <w:hyperlink r:id="rId19">
        <w:r>
          <w:rPr>
            <w:color w:val="2563A6"/>
            <w:u w:val="single"/>
            <w:rFonts w:ascii="Arial" w:hAnsi="Arial"/>
            <w:sz w:val="21"/>
          </w:rPr>
          <w:t>Ambitious Science Teaching</w:t>
        </w:r>
      </w:hyperlink>
    </w:p>
    <w:p>
      <w:pPr>
        <w:pStyle w:val="Heading2"/>
        <w:keepNext/>
        <w:widowControl/>
      </w:pPr>
      <w:r>
        <w:rPr>
          <w:rFonts w:ascii="Arial" w:hAnsi="Arial"/>
          <w:b/>
          <w:i w:val="0"/>
          <w:color w:val="475569"/>
          <w:sz w:val="26"/>
        </w:rPr>
        <w:t>AI Use Disclosure</w:t>
      </w:r>
    </w:p>
    <w:p>
      <w:pPr>
        <w:widowControl/>
      </w:pPr>
      <w:r>
        <w:rPr>
          <w:rFonts w:ascii="Arial" w:hAnsi="Arial"/>
          <w:b w:val="0"/>
          <w:i w:val="0"/>
          <w:color w:val="475569"/>
          <w:sz w:val="19"/>
        </w:rPr>
        <w:t>I used OpenAI Codex on July 14, 2026 to help organize sources, build the two visual models, test the explanation for missing causal links, and prepare this draft for review. I am responsible for checking the science, revising the language, protecting Misong’s contributions, and deciding what we submit.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onKUk2pjF5nzpMYp_mhhpSb9lGbT40ke9QCgC_EdyDM/edit" TargetMode="External"/><Relationship Id="rId10" Type="http://schemas.openxmlformats.org/officeDocument/2006/relationships/hyperlink" Target="https://marinedebris.noaa.gov/what-marine-debris/microplastics" TargetMode="External"/><Relationship Id="rId11" Type="http://schemas.openxmlformats.org/officeDocument/2006/relationships/hyperlink" Target="https://www.epa.gov/plastics/about-plastic-products-and-plastic-pollution" TargetMode="External"/><Relationship Id="rId12" Type="http://schemas.openxmlformats.org/officeDocument/2006/relationships/hyperlink" Target="https://www.mdpi.com/2076-3417/11/21/10109" TargetMode="External"/><Relationship Id="rId13" Type="http://schemas.openxmlformats.org/officeDocument/2006/relationships/hyperlink" Target="https://www.fda.gov/food/environmental-contaminants-food/microplastics-and-nanoplastics-foods" TargetMode="External"/><Relationship Id="rId14" Type="http://schemas.openxmlformats.org/officeDocument/2006/relationships/hyperlink" Target="https://www.unep.org/interactives/beat-pollution/" TargetMode="External"/><Relationship Id="rId15" Type="http://schemas.openxmlformats.org/officeDocument/2006/relationships/image" Target="media/image1.png"/><Relationship Id="rId16" Type="http://schemas.openxmlformats.org/officeDocument/2006/relationships/hyperlink" Target="https://www.who.int/publications/i/item/9789240054608" TargetMode="External"/><Relationship Id="rId17" Type="http://schemas.openxmlformats.org/officeDocument/2006/relationships/hyperlink" Target="https://udlguidelines.cast.org/more/about-guidelines-3-0/" TargetMode="External"/><Relationship Id="rId18" Type="http://schemas.openxmlformats.org/officeDocument/2006/relationships/image" Target="media/image2.png"/><Relationship Id="rId19" Type="http://schemas.openxmlformats.org/officeDocument/2006/relationships/hyperlink" Target="https://ambitiousscienceteaching.org/get-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Fiber Fighters: Tiny Fibers, Big Systems</dc:title>
  <dc:subject>Gapless science explanation with neuroinclusive camp design</dc:subject>
  <dc:creator>Piter Garcia and Misong</dc:creator>
  <cp:keywords>EDU486, microfibers, microplastics, neurodivergence, UDL, inclusion, environmental justice</cp:keywords>
  <dc:description>generated by python-docx</dc:description>
  <cp:lastModifiedBy/>
  <cp:revision>1</cp:revision>
  <dcterms:created xsi:type="dcterms:W3CDTF">2013-12-23T23:15:00Z</dcterms:created>
  <dcterms:modified xsi:type="dcterms:W3CDTF">2013-12-23T23:15:00Z</dcterms:modified>
  <cp:category/>
</cp:coreProperties>
</file>