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hyperlink r:id="rIdDriveVisual" w:tooltip="Open the full visual in Google Drive">
        <w:r>
          <w:drawing>
            <wp:inline xmlns:a="http://schemas.openxmlformats.org/drawingml/2006/main" xmlns:pic="http://schemas.openxmlformats.org/drawingml/2006/picture">
              <wp:extent cx="9235440" cy="5194935"/>
              <wp:docPr id="1" name="Picture 1" descr="JuST and Technology: From Access to Agency framework visualization showing plan, elicit, revise, and act; technology support, complication, and constraint; and questions about participation, hidden effects, and burden." title="JuST and Technology Framework"/>
              <wp:cNvGraphicFramePr>
                <a:graphicFrameLocks noChangeAspect="1"/>
              </wp:cNvGraphicFramePr>
              <a:graphic>
                <a:graphicData uri="http://schemas.openxmlformats.org/drawingml/2006/picture">
                  <pic:pic>
                    <pic:nvPicPr>
                      <pic:cNvPr id="0" name="grounding-frameworks-visual.png"/>
                      <pic:cNvPicPr/>
                    </pic:nvPicPr>
                    <pic:blipFill>
                      <a:blip r:embed="rId9"/>
                      <a:stretch>
                        <a:fillRect/>
                      </a:stretch>
                    </pic:blipFill>
                    <pic:spPr>
                      <a:xfrm>
                        <a:off x="0" y="0"/>
                        <a:ext cx="9235440" cy="5194935"/>
                      </a:xfrm>
                      <a:prstGeom prst="rect"/>
                    </pic:spPr>
                  </pic:pic>
                </a:graphicData>
              </a:graphic>
            </wp:inline>
          </w:drawing>
        </w:r>
      </w:hyperlink>
    </w:p>
    <w:p>
      <w:pPr>
        <w:spacing w:before="100" w:after="0"/>
        <w:jc w:val="center"/>
      </w:pPr>
      <w:hyperlink r:id="rId10">
        <w:r>
          <w:rPr>
            <w:color w:val="168AAD"/>
            <w:u w:val="single"/>
          </w:rPr>
          <w:t>Open the full explanation, direct sources, and AI disclosure</w:t>
        </w:r>
      </w:hyperlink>
    </w:p>
    <w:p>
      <w:r>
        <w:br w:type="page"/>
      </w:r>
    </w:p>
    <w:p>
      <w:pPr>
        <w:pStyle w:val="Heading1"/>
        <w:spacing w:before="0"/>
      </w:pPr>
      <w:r>
        <w:t>Accessible Text Companion</w:t>
      </w:r>
    </w:p>
    <w:p>
      <w:pPr>
        <w:spacing w:after="160"/>
      </w:pPr>
      <w:r>
        <w:rPr>
          <w:b/>
          <w:color w:val="496273"/>
        </w:rPr>
        <w:t>Piter Z. Garcia Bautista | EDU486 | Part 1 | July 14, 2026</w:t>
      </w:r>
    </w:p>
    <w:p>
      <w:pPr>
        <w:pStyle w:val="Heading2"/>
      </w:pPr>
      <w:r>
        <w:t>Central Claim</w:t>
      </w:r>
    </w:p>
    <w:p>
      <w:r>
        <w:t>Technology is not automatically inclusive, neutral, or transformative. It changes who can participate, which knowledge becomes visible, how evidence is interpreted, and who carries the effort or risk. My responsibility is to design from access toward agency so youth can contribute to the same rigorous STEM purpose through different bodyminds, languages, energy levels, and forms of expression.</w:t>
      </w:r>
    </w:p>
    <w:tbl>
      <w:tblPr>
        <w:tblW w:type="auto" w:w="0"/>
        <w:jc w:val="center"/>
        <w:tblLayout w:type="fixed"/>
        <w:tblLook w:firstColumn="1" w:firstRow="1" w:lastColumn="0" w:lastRow="0" w:noHBand="0" w:noVBand="1" w:val="04A0"/>
      </w:tblPr>
      <w:tblGrid>
        <w:gridCol w:w="4848"/>
        <w:gridCol w:w="4848"/>
        <w:gridCol w:w="4848"/>
      </w:tblGrid>
      <w:tr>
        <w:trPr>
          <w:tblHeader/>
        </w:trPr>
        <w:tc>
          <w:tcPr>
            <w:tcW w:type="dxa" w:w="4766"/>
            <w:vAlign w:val="top"/>
            <w:shd w:fill="EAF7EF"/>
            <w:tcMar>
              <w:top w:w="80" w:type="dxa"/>
              <w:start w:w="120" w:type="dxa"/>
              <w:bottom w:w="80" w:type="dxa"/>
              <w:end w:w="120" w:type="dxa"/>
            </w:tcMar>
          </w:tcPr>
          <w:p>
            <w:pPr>
              <w:spacing w:after="100"/>
            </w:pPr>
            <w:r>
              <w:rPr>
                <w:b/>
                <w:color w:val="167A45"/>
                <w:sz w:val="24"/>
              </w:rPr>
              <w:t>Technology can support</w:t>
            </w:r>
          </w:p>
          <w:p>
            <w:pPr>
              <w:spacing w:after="60"/>
              <w:ind w:left="115" w:hanging="115"/>
            </w:pPr>
            <w:r>
              <w:rPr>
                <w:b/>
              </w:rPr>
              <w:t xml:space="preserve">- </w:t>
            </w:r>
            <w:r>
              <w:t>Shared microscope views and still images</w:t>
            </w:r>
          </w:p>
          <w:p>
            <w:pPr>
              <w:spacing w:after="60"/>
              <w:ind w:left="115" w:hanging="115"/>
            </w:pPr>
            <w:r>
              <w:rPr>
                <w:b/>
              </w:rPr>
              <w:t xml:space="preserve">- </w:t>
            </w:r>
            <w:r>
              <w:t>Captions, paper backups, maps, and tallies</w:t>
            </w:r>
          </w:p>
          <w:p>
            <w:pPr>
              <w:spacing w:before="80" w:after="0"/>
            </w:pPr>
            <w:r>
              <w:rPr>
                <w:b/>
              </w:rPr>
              <w:t>Ask: Who can participate now?</w:t>
            </w:r>
          </w:p>
        </w:tc>
        <w:tc>
          <w:tcPr>
            <w:tcW w:type="dxa" w:w="4766"/>
            <w:vAlign w:val="top"/>
            <w:shd w:fill="FFF7DE"/>
            <w:tcMar>
              <w:top w:w="80" w:type="dxa"/>
              <w:start w:w="120" w:type="dxa"/>
              <w:bottom w:w="80" w:type="dxa"/>
              <w:end w:w="120" w:type="dxa"/>
            </w:tcMar>
          </w:tcPr>
          <w:p>
            <w:pPr>
              <w:spacing w:after="100"/>
            </w:pPr>
            <w:r>
              <w:rPr>
                <w:b/>
                <w:color w:val="8A6500"/>
                <w:sz w:val="24"/>
              </w:rPr>
              <w:t>Technology can complicate</w:t>
            </w:r>
          </w:p>
          <w:p>
            <w:pPr>
              <w:spacing w:after="60"/>
              <w:ind w:left="115" w:hanging="115"/>
            </w:pPr>
            <w:r>
              <w:rPr>
                <w:b/>
              </w:rPr>
              <w:t xml:space="preserve">- </w:t>
            </w:r>
            <w:r>
              <w:t>Data can outrank lived knowledge</w:t>
            </w:r>
          </w:p>
          <w:p>
            <w:pPr>
              <w:spacing w:after="60"/>
              <w:ind w:left="115" w:hanging="115"/>
            </w:pPr>
            <w:r>
              <w:rPr>
                <w:b/>
              </w:rPr>
              <w:t xml:space="preserve">- </w:t>
            </w:r>
            <w:r>
              <w:t>AI can overclaim or flatten local experience</w:t>
            </w:r>
          </w:p>
          <w:p>
            <w:pPr>
              <w:spacing w:before="80" w:after="0"/>
            </w:pPr>
            <w:r>
              <w:rPr>
                <w:b/>
              </w:rPr>
              <w:t>Ask: What does the tool hide?</w:t>
            </w:r>
          </w:p>
        </w:tc>
        <w:tc>
          <w:tcPr>
            <w:tcW w:type="dxa" w:w="4766"/>
            <w:vAlign w:val="top"/>
            <w:shd w:fill="FCECEF"/>
            <w:tcMar>
              <w:top w:w="80" w:type="dxa"/>
              <w:start w:w="120" w:type="dxa"/>
              <w:bottom w:w="80" w:type="dxa"/>
              <w:end w:w="120" w:type="dxa"/>
            </w:tcMar>
          </w:tcPr>
          <w:p>
            <w:pPr>
              <w:spacing w:after="100"/>
            </w:pPr>
            <w:r>
              <w:rPr>
                <w:b/>
                <w:color w:val="9B1C1C"/>
                <w:sz w:val="24"/>
              </w:rPr>
              <w:t>Technology can constrain</w:t>
            </w:r>
          </w:p>
          <w:p>
            <w:pPr>
              <w:spacing w:after="60"/>
              <w:ind w:left="115" w:hanging="115"/>
            </w:pPr>
            <w:r>
              <w:rPr>
                <w:b/>
              </w:rPr>
              <w:t xml:space="preserve">- </w:t>
            </w:r>
            <w:r>
              <w:t>Bias, cost, surveillance, sensory and energy load</w:t>
            </w:r>
          </w:p>
          <w:p>
            <w:pPr>
              <w:spacing w:after="60"/>
              <w:ind w:left="115" w:hanging="115"/>
            </w:pPr>
            <w:r>
              <w:rPr>
                <w:b/>
              </w:rPr>
              <w:t xml:space="preserve">- </w:t>
            </w:r>
            <w:r>
              <w:t>Wi-Fi, fit, reliability, and working memory</w:t>
            </w:r>
          </w:p>
          <w:p>
            <w:pPr>
              <w:spacing w:before="80" w:after="0"/>
            </w:pPr>
            <w:r>
              <w:rPr>
                <w:b/>
              </w:rPr>
              <w:t>Ask: Who bears the burden?</w:t>
            </w:r>
          </w:p>
        </w:tc>
      </w:tr>
    </w:tbl>
    <w:p>
      <w:pPr>
        <w:pStyle w:val="Heading2"/>
      </w:pPr>
      <w:r>
        <w:t>Invisible Invaders Application</w:t>
      </w:r>
    </w:p>
    <w:p>
      <w:r>
        <w:t>This Part 1 artifact reflects our July 14 indoor/outdoor plan. On July 15, Piter and Aastha changed the active anchor to “Humans aren’t trash cans, but we have plastics in our bodies.” Environmental observations now support that pathway inquiry. Youth can use images, models, drawing, text, voice, audio, paper, home language, or a partner. Detection does not prove one route or health effect.</w:t>
      </w:r>
    </w:p>
    <w:p>
      <w:pPr>
        <w:pStyle w:val="Heading2"/>
      </w:pPr>
      <w:r>
        <w:t>Part 1 Reflection</w:t>
      </w:r>
    </w:p>
    <w:p>
      <w:r>
        <w:t>JuST shows me that rigor and inclusion can strengthen each other when the purpose is shared but routes into the work are flexible. This is a pre-camp framework, so the examples are design commitments, not claims about completed teaching. In Part 2, I will revise it using evidence about participation, barriers, model revision, technology tradeoffs, and youth agency.</w:t>
      </w:r>
    </w:p>
    <w:p>
      <w:pPr>
        <w:pStyle w:val="Heading2"/>
      </w:pPr>
      <w:r>
        <w:t>Direct Sources</w:t>
      </w:r>
    </w:p>
    <w:p>
      <w:hyperlink r:id="rId11">
        <w:r>
          <w:rPr>
            <w:color w:val="168AAD"/>
            <w:u w:val="single"/>
          </w:rPr>
          <w:t>JuST Framework paper</w:t>
        </w:r>
      </w:hyperlink>
      <w:r>
        <w:t xml:space="preserve"> | </w:t>
      </w:r>
      <w:hyperlink r:id="rId12">
        <w:r>
          <w:rPr>
            <w:color w:val="168AAD"/>
            <w:u w:val="single"/>
          </w:rPr>
          <w:t>JuST interview</w:t>
        </w:r>
      </w:hyperlink>
      <w:r>
        <w:t xml:space="preserve"> | </w:t>
      </w:r>
      <w:hyperlink r:id="rId13">
        <w:r>
          <w:rPr>
            <w:color w:val="168AAD"/>
            <w:u w:val="single"/>
          </w:rPr>
          <w:t>CAST UDL 3.0</w:t>
        </w:r>
      </w:hyperlink>
      <w:r>
        <w:t xml:space="preserve"> | </w:t>
      </w:r>
      <w:hyperlink r:id="rId14">
        <w:r>
          <w:rPr>
            <w:color w:val="168AAD"/>
            <w:u w:val="single"/>
          </w:rPr>
          <w:t>EPA microplastics</w:t>
        </w:r>
      </w:hyperlink>
      <w:r>
        <w:t xml:space="preserve"> | </w:t>
      </w:r>
      <w:hyperlink r:id="rId15">
        <w:r>
          <w:rPr>
            <w:color w:val="168AAD"/>
            <w:u w:val="single"/>
          </w:rPr>
          <w:t>NOAA laboratory methods</w:t>
        </w:r>
      </w:hyperlink>
    </w:p>
    <w:p>
      <w:pPr>
        <w:pStyle w:val="Heading2"/>
        <w:spacing w:before="120" w:after="60"/>
      </w:pPr>
      <w:r>
        <w:t>AI Use Disclosure</w:t>
      </w:r>
    </w:p>
    <w:p>
      <w:pPr>
        <w:spacing w:line="240" w:lineRule="auto" w:after="0"/>
      </w:pPr>
      <w:r>
        <w:rPr>
          <w:sz w:val="19"/>
        </w:rPr>
        <w:t>I used OpenAI Codex on July 14, 2026 to make this content more inclusive by structuring, formatting, and enhancing material I provided so it would be easier to access in visual and text formats. I supervised and guided the process, reviewed every part, and made the final decisions. AI also helped locate and validate direct sources; it did not replace my judgment, lived experience, or responsibility for the work. All content was reviewed, provided, or guided by me, Piter Garcia.</w:t>
      </w:r>
    </w:p>
    <w:sectPr w:rsidR="00FC693F" w:rsidRPr="0006063C" w:rsidSect="00034616">
      <w:footerReference w:type="default" r:id="rId16"/>
      <w:pgSz w:w="15840" w:h="12240" w:orient="landscape"/>
      <w:pgMar w:top="504" w:right="648" w:bottom="504" w:left="64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EDU486 | Piter Garcia |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230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rive.google.com/file/d/1FqLQP_tposB8CHUtUutZ5oFqhlB7rh1S/view" TargetMode="External"/><Relationship Id="rId11" Type="http://schemas.openxmlformats.org/officeDocument/2006/relationships/hyperlink" Target="https://doi.org/10.1002/tea.21917" TargetMode="External"/><Relationship Id="rId12" Type="http://schemas.openxmlformats.org/officeDocument/2006/relationships/hyperlink" Target="https://ambitiousscienceteaching.org/the-just-framework-an-interview-with-dr-april-luehmann/" TargetMode="External"/><Relationship Id="rId13" Type="http://schemas.openxmlformats.org/officeDocument/2006/relationships/hyperlink" Target="https://udlguidelines.cast.org/" TargetMode="External"/><Relationship Id="rId14" Type="http://schemas.openxmlformats.org/officeDocument/2006/relationships/hyperlink" Target="https://www.epa.gov/water-research/microplastics-research" TargetMode="External"/><Relationship Id="rId15" Type="http://schemas.openxmlformats.org/officeDocument/2006/relationships/hyperlink" Target="https://repository.library.noaa.gov/view/noaa/10296" TargetMode="External"/><Relationship Id="rId16" Type="http://schemas.openxmlformats.org/officeDocument/2006/relationships/footer" Target="footer1.xml"/><Relationship Id="rIdDriveVisual" Type="http://schemas.openxmlformats.org/officeDocument/2006/relationships/hyperlink" Target="https://drive.google.com/file/d/1G3n2R_I_JhKcgO4RJjXDo04nYOAVAMRo/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 and Technology: From Access to Agency</dc:title>
  <dc:subject>EDU486 Visualizing Our Grounding Frameworks, Part 1</dc:subject>
  <dc:creator>Piter Z. Garcia Bautista</dc:creator>
  <cp:keywords>JuST, technology, justice-centered STEM, accessibility, neurodivergence</cp:keywords>
  <dc:description>generated by python-docx</dc:description>
  <cp:lastModifiedBy/>
  <cp:revision>1</cp:revision>
  <dcterms:created xsi:type="dcterms:W3CDTF">2013-12-23T23:15:00Z</dcterms:created>
  <dcterms:modified xsi:type="dcterms:W3CDTF">2013-12-23T23:15:00Z</dcterms:modified>
  <cp:category/>
</cp:coreProperties>
</file>