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9.png" ContentType="image/png"/>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1" w:name="task-6---session-5-reading-synthesis"/>
    <w:p>
      <w:pPr>
        <w:pStyle w:val="Heading1"/>
      </w:pPr>
      <w:r>
        <w:t xml:space="preserve">Task 6 - Session 5 Reading Synthesis</w:t>
      </w:r>
    </w:p>
    <w:p>
      <w:pPr>
        <w:pStyle w:val="FirstParagraph"/>
      </w:pPr>
      <w:r>
        <w:rPr>
          <w:b/>
          <w:bCs/>
        </w:rPr>
        <w:t xml:space="preserve">Date:</w:t>
      </w:r>
      <w:r>
        <w:t xml:space="preserve"> </w:t>
      </w:r>
      <w:r>
        <w:t xml:space="preserve">July 14, 2026</w:t>
      </w:r>
    </w:p>
    <w:p>
      <w:pPr>
        <w:pStyle w:val="BodyText"/>
      </w:pPr>
      <w:r>
        <w:rPr>
          <w:b/>
          <w:bCs/>
        </w:rPr>
        <w:t xml:space="preserve">Course:</w:t>
      </w:r>
      <w:r>
        <w:t xml:space="preserve"> </w:t>
      </w:r>
      <w:r>
        <w:t xml:space="preserve">EDU486 - Integrating Technology in STEM</w:t>
      </w:r>
    </w:p>
    <w:p>
      <w:pPr>
        <w:pStyle w:val="BodyText"/>
      </w:pPr>
      <w:r>
        <w:rPr>
          <w:b/>
          <w:bCs/>
        </w:rPr>
        <w:t xml:space="preserve">Theme:</w:t>
      </w:r>
      <w:r>
        <w:t xml:space="preserve"> </w:t>
      </w:r>
      <w:r>
        <w:t xml:space="preserve">Puzzle Plan / EQUITAS Access-to-Agency STEM</w:t>
      </w:r>
    </w:p>
    <w:p>
      <w:pPr>
        <w:pStyle w:val="BodyText"/>
      </w:pPr>
      <w:r>
        <w:t xml:space="preserve">These notes summarize the five assigned readings and official Storylines media through Piter Garcia's Puzzle Plan goals. The throughline is not simply "inclusion." It is a claim about evidence and design: bodymind, language, energy, sensory, communication, identity, or technology barriers can hide rigorous thinking, so a teacher as learning scientist must examine and redesign the environment before diagnosing the learner as deficient.</w:t>
      </w:r>
    </w:p>
    <w:p>
      <w:pPr>
        <w:pStyle w:val="BodyText"/>
      </w:pPr>
      <w:hyperlink r:id="rId21">
        <w:r>
          <w:drawing>
            <wp:inline>
              <wp:extent cx="5334000" cy="3000375"/>
              <wp:effectExtent b="0" l="0" r="0" t="0"/>
              <wp:docPr descr="Task 6 readings mapped to the Puzzle Plan" title="" id="19" name="Picture"/>
              <a:graphic>
                <a:graphicData uri="http://schemas.openxmlformats.org/drawingml/2006/picture">
                  <pic:pic>
                    <pic:nvPicPr>
                      <pic:cNvPr descr="/Users/pitergarcia/DataScience/Semester4(UofR)/EDU486/public-artifacts/session5-puzzle-plan-reading-map.png" id="20" name="Picture"/>
                      <pic:cNvPicPr>
                        <a:picLocks noChangeArrowheads="1" noChangeAspect="1"/>
                      </pic:cNvPicPr>
                    </pic:nvPicPr>
                    <pic:blipFill>
                      <a:blip r:embed="rId18"/>
                      <a:stretch>
                        <a:fillRect/>
                      </a:stretch>
                    </pic:blipFill>
                    <pic:spPr bwMode="auto">
                      <a:xfrm>
                        <a:off x="0" y="0"/>
                        <a:ext cx="5334000" cy="3000375"/>
                      </a:xfrm>
                      <a:prstGeom prst="rect">
                        <a:avLst/>
                      </a:prstGeom>
                      <a:noFill/>
                      <a:ln w="9525">
                        <a:noFill/>
                        <a:headEnd/>
                        <a:tailEnd/>
                      </a:ln>
                    </pic:spPr>
                  </pic:pic>
                </a:graphicData>
              </a:graphic>
            </wp:inline>
          </w:drawing>
        </w:r>
      </w:hyperlink>
    </w:p>
    <w:p>
      <w:pPr>
        <w:pStyle w:val="BodyText"/>
      </w:pPr>
      <w:hyperlink r:id="rId22">
        <w:r>
          <w:rPr>
            <w:rStyle w:val="Hyperlink"/>
          </w:rPr>
          <w:t xml:space="preserve">Open the full Drive copy</w:t>
        </w:r>
      </w:hyperlink>
      <w:r>
        <w:t xml:space="preserve"> </w:t>
      </w:r>
      <w:r>
        <w:t xml:space="preserve">|</w:t>
      </w:r>
      <w:r>
        <w:t xml:space="preserve"> </w:t>
      </w:r>
      <w:hyperlink r:id="rId21">
        <w:r>
          <w:rPr>
            <w:rStyle w:val="Hyperlink"/>
          </w:rPr>
          <w:t xml:space="preserve">Open the visual</w:t>
        </w:r>
      </w:hyperlink>
      <w:r>
        <w:t xml:space="preserve"> </w:t>
      </w:r>
      <w:r>
        <w:t xml:space="preserve">|</w:t>
      </w:r>
      <w:r>
        <w:t xml:space="preserve"> </w:t>
      </w:r>
      <w:hyperlink r:id="rId23">
        <w:r>
          <w:rPr>
            <w:rStyle w:val="Hyperlink"/>
          </w:rPr>
          <w:t xml:space="preserve">Open the accessible DOCX</w:t>
        </w:r>
      </w:hyperlink>
    </w:p>
    <w:bookmarkStart w:id="25" w:name="Xd098b82beefb35d34d039b6781e03b53f34b8ec"/>
    <w:p>
      <w:pPr>
        <w:pStyle w:val="Heading2"/>
      </w:pPr>
      <w:r>
        <w:t xml:space="preserve">1. Reiser et al. - Storyline Units</w:t>
      </w:r>
    </w:p>
    <w:p>
      <w:pPr>
        <w:pStyle w:val="FirstParagraph"/>
      </w:pPr>
      <w:r>
        <w:t xml:space="preserve">Storylines make a unit coherent from the students' perspective: each investigation should answer a question the classroom community recognizes as necessary for explaining a phenomenon or solving a problem. The paper connects anchoring phenomena, navigation, putting pieces together, and problematizing with epistemic agency and explicit equity concerns. Its warning about pseudoagency matters to the Puzzle Plan because collecting youth questions without letting them affect knowledge building can reproduce the appearance of inclusion without redistributing authority.</w:t>
      </w:r>
    </w:p>
    <w:p>
      <w:pPr>
        <w:pStyle w:val="BodyText"/>
      </w:pPr>
      <w:r>
        <w:rPr>
          <w:b/>
          <w:bCs/>
        </w:rPr>
        <w:t xml:space="preserve">Puzzle Plan design claim:</w:t>
      </w:r>
      <w:r>
        <w:t xml:space="preserve"> </w:t>
      </w:r>
      <w:r>
        <w:t xml:space="preserve">Make the intellectual path visible, lower the social risk of revision, and let youth contribute through multiple languages and modes. A question board, navigation record, and model history can reduce unnecessary working-memory and inference demands, but only if quieter, delayed, nonverbal, home-language, and low-energy contributions actually shape the shared record.</w:t>
      </w:r>
    </w:p>
    <w:p>
      <w:pPr>
        <w:pStyle w:val="BodyText"/>
      </w:pPr>
      <w:hyperlink r:id="rId24">
        <w:r>
          <w:rPr>
            <w:rStyle w:val="Hyperlink"/>
          </w:rPr>
          <w:t xml:space="preserve">Open the Reiser article</w:t>
        </w:r>
      </w:hyperlink>
    </w:p>
    <w:bookmarkEnd w:id="25"/>
    <w:bookmarkStart w:id="27" w:name="X4e9f0e4f5566966b769aadd55fda8ee8f9bb0a4"/>
    <w:p>
      <w:pPr>
        <w:pStyle w:val="Heading2"/>
      </w:pPr>
      <w:r>
        <w:t xml:space="preserve">2. Smetana et al. - Let's Be Litter Free</w:t>
      </w:r>
    </w:p>
    <w:p>
      <w:pPr>
        <w:pStyle w:val="FirstParagraph"/>
      </w:pPr>
      <w:r>
        <w:t xml:space="preserve">The unit moves from visible local litter to production trends, cleanup databases, multiple classification systems, graphs, claim limits, policy questions, and public action. Students learn that the same evidence can look different when sorted by use or material and that a dataset cannot answer a causal question when required baseline evidence is missing. The photo-based alternative to physical collection also shows that field participation is not the only rigorous route to analysis.</w:t>
      </w:r>
    </w:p>
    <w:p>
      <w:pPr>
        <w:pStyle w:val="BodyText"/>
      </w:pPr>
      <w:r>
        <w:rPr>
          <w:b/>
          <w:bCs/>
        </w:rPr>
        <w:t xml:space="preserve">Puzzle Plan design claim:</w:t>
      </w:r>
      <w:r>
        <w:t xml:space="preserve"> </w:t>
      </w:r>
      <w:r>
        <w:t xml:space="preserve">Evidence is shaped by categories, context, missing data, and access conditions. We should preserve equivalent photo, sample, and shared-image routes while asking who produces waste, who has alternatives, whose labor manages it, who benefits, and who bears exposure; "collective responsibility" cannot be flattened into equal individual blame.</w:t>
      </w:r>
    </w:p>
    <w:p>
      <w:pPr>
        <w:pStyle w:val="BodyText"/>
      </w:pPr>
      <w:hyperlink r:id="rId26">
        <w:r>
          <w:rPr>
            <w:rStyle w:val="Hyperlink"/>
          </w:rPr>
          <w:t xml:space="preserve">Open the Smetana article record</w:t>
        </w:r>
      </w:hyperlink>
    </w:p>
    <w:bookmarkEnd w:id="27"/>
    <w:bookmarkStart w:id="29" w:name="X4fcd30444880dd9199b38ac5b36fa322a7561a3"/>
    <w:p>
      <w:pPr>
        <w:pStyle w:val="Heading2"/>
      </w:pPr>
      <w:r>
        <w:t xml:space="preserve">3. Wisbrock et al. - Talking Trash</w:t>
      </w:r>
    </w:p>
    <w:p>
      <w:pPr>
        <w:pStyle w:val="FirstParagraph"/>
      </w:pPr>
      <w:r>
        <w:t xml:space="preserve">Talking Trash integrates a local expert, lunch-waste data, a trash-cycle model, vocabulary development, source evaluation, collaborative synthesis, script revision, and a public service announcement. It includes sentence supports, flexible grouping, print alternatives, and live presentation when digital tools are unavailable. The sequence demonstrates that science, literacy, technology, creativity, and advocacy can reinforce one another when each has a clear purpose.</w:t>
      </w:r>
    </w:p>
    <w:p>
      <w:pPr>
        <w:pStyle w:val="BodyText"/>
      </w:pPr>
      <w:r>
        <w:rPr>
          <w:b/>
          <w:bCs/>
        </w:rPr>
        <w:t xml:space="preserve">Puzzle Plan design claim:</w:t>
      </w:r>
      <w:r>
        <w:t xml:space="preserve"> </w:t>
      </w:r>
      <w:r>
        <w:t xml:space="preserve">A polished 60-second product cannot become a hidden test of reading speed, speech fluency, stamina, English dominance, or editing experience. Youth should be able to communicate through art, audio, poster, captioned video, live explanation, or partner-supported formats while the rubric evaluates shared scientific criteria separately from media polish.</w:t>
      </w:r>
    </w:p>
    <w:p>
      <w:pPr>
        <w:pStyle w:val="BodyText"/>
      </w:pPr>
      <w:hyperlink r:id="rId28">
        <w:r>
          <w:rPr>
            <w:rStyle w:val="Hyperlink"/>
          </w:rPr>
          <w:t xml:space="preserve">Open the Talking Trash article</w:t>
        </w:r>
      </w:hyperlink>
    </w:p>
    <w:bookmarkEnd w:id="29"/>
    <w:bookmarkStart w:id="31" w:name="Xa2d4130468fb580472e70f0038048d79f184e10"/>
    <w:p>
      <w:pPr>
        <w:pStyle w:val="Heading2"/>
      </w:pPr>
      <w:r>
        <w:t xml:space="preserve">4. Wiggins and McTighe - Understanding by Design, Chapter 1</w:t>
      </w:r>
    </w:p>
    <w:p>
      <w:pPr>
        <w:pStyle w:val="FirstParagraph"/>
      </w:pPr>
      <w:r>
        <w:t xml:space="preserve">Backward design names the understanding and transfer learners should achieve, determines acceptable evidence, and only then chooses learning experiences, technologies, and materials. This avoids the twin failures of entertaining activities without intellectual direction and content coverage without meaning. The supplied course PDF is the 2005 expanded second-edition chapter, although the assignment email labels the reading as 2021; the summary preserves that provenance difference.</w:t>
      </w:r>
    </w:p>
    <w:p>
      <w:pPr>
        <w:pStyle w:val="BodyText"/>
      </w:pPr>
      <w:r>
        <w:rPr>
          <w:b/>
          <w:bCs/>
        </w:rPr>
        <w:t xml:space="preserve">Puzzle Plan design claim:</w:t>
      </w:r>
      <w:r>
        <w:t xml:space="preserve"> </w:t>
      </w:r>
      <w:r>
        <w:t xml:space="preserve">Stage 2 is an equitable diagnostic decision. If the goal is causal explanation from evidence, students can demonstrate it through a model plus oral, written, visual, audio, or partner-supported reasoning; handwriting, rapid speech, stamina, and tool familiarity should not be scored as scientific understanding unless they are genuinely part of the learning goal.</w:t>
      </w:r>
    </w:p>
    <w:p>
      <w:pPr>
        <w:pStyle w:val="BodyText"/>
      </w:pPr>
      <w:hyperlink r:id="rId30">
        <w:r>
          <w:rPr>
            <w:rStyle w:val="Hyperlink"/>
          </w:rPr>
          <w:t xml:space="preserve">Open the Understanding by Design source</w:t>
        </w:r>
      </w:hyperlink>
    </w:p>
    <w:bookmarkEnd w:id="31"/>
    <w:bookmarkStart w:id="33" w:name="Xc30366c582914b454aad97c6173dd51b69d7741"/>
    <w:p>
      <w:pPr>
        <w:pStyle w:val="Heading2"/>
      </w:pPr>
      <w:r>
        <w:t xml:space="preserve">5. Ippolito et al. - Learning Science and Literacy Together</w:t>
      </w:r>
    </w:p>
    <w:p>
      <w:pPr>
        <w:pStyle w:val="FirstParagraph"/>
      </w:pPr>
      <w:r>
        <w:t xml:space="preserve">The article describes a coastal summer program where youth learn by doing, talking, reading, and writing science while teachers use student work and daily dilemmas to revise instruction. It expands scientific text to include field guides, data displays, transcripts, observations, mentor reports, and other disciplinary forms. Students labeled as struggling readers become investigators, authors, source evaluators, and evidence-based communicators when literacy has an authentic scientific purpose.</w:t>
      </w:r>
    </w:p>
    <w:p>
      <w:pPr>
        <w:pStyle w:val="BodyText"/>
      </w:pPr>
      <w:r>
        <w:rPr>
          <w:b/>
          <w:bCs/>
        </w:rPr>
        <w:t xml:space="preserve">Puzzle Plan design claim:</w:t>
      </w:r>
      <w:r>
        <w:t xml:space="preserve"> </w:t>
      </w:r>
      <w:r>
        <w:t xml:space="preserve">Difficulty with a decontextualized reading task does not establish weak scientific thinking. Multimodal formative evidence can reveal expertise that a narrow diagnostic misses, while co-leader debriefs should ask which barrier hid thinking, whose knowledge became visible, and what the learning environment needs tomorrow.</w:t>
      </w:r>
    </w:p>
    <w:p>
      <w:pPr>
        <w:pStyle w:val="BodyText"/>
      </w:pPr>
      <w:hyperlink r:id="rId32">
        <w:r>
          <w:rPr>
            <w:rStyle w:val="Hyperlink"/>
          </w:rPr>
          <w:t xml:space="preserve">Open the Ippolito article</w:t>
        </w:r>
      </w:hyperlink>
    </w:p>
    <w:bookmarkEnd w:id="33"/>
    <w:bookmarkStart w:id="34" w:name="X2fff672c394592733e097d21748661c866291b2"/>
    <w:p>
      <w:pPr>
        <w:pStyle w:val="Heading2"/>
      </w:pPr>
      <w:r>
        <w:t xml:space="preserve">Combined Invisible Invaders Planning Sequence</w:t>
      </w:r>
    </w:p>
    <w:p>
      <w:pPr>
        <w:pStyle w:val="Compact"/>
        <w:numPr>
          <w:ilvl w:val="0"/>
          <w:numId w:val="1001"/>
        </w:numPr>
      </w:pPr>
      <w:r>
        <w:rPr>
          <w:b/>
        </w:rPr>
        <w:t>Name the transfer goal:</w:t>
      </w:r>
      <w:r>
        <w:t xml:space="preserve"> youth explain how plastic can enter bodies through connected air, water, food, product, and waste systems; state evidence limits; and propose fair system-level action.</w:t>
      </w:r>
    </w:p>
    <w:p>
      <w:pPr>
        <w:pStyle w:val="Compact"/>
        <w:numPr>
          <w:ilvl w:val="0"/>
          <w:numId w:val="1001"/>
        </w:numPr>
      </w:pPr>
      <w:r>
        <w:rPr>
          <w:b/>
        </w:rPr>
        <w:t>Begin with the agreed phenomenon:</w:t>
      </w:r>
      <w:r>
        <w:t xml:space="preserve"> use the human-sample evidence and its limits to elicit noticing, initial models, related experiences, and youth questions. Use parking-lot, classroom, and blank evidence later as supporting pathway evidence.</w:t>
      </w:r>
    </w:p>
    <w:p>
      <w:pPr>
        <w:pStyle w:val="Compact"/>
        <w:numPr>
          <w:ilvl w:val="0"/>
          <w:numId w:val="1001"/>
        </w:numPr>
      </w:pPr>
      <w:r>
        <w:rPr>
          <w:b/>
          <w:bCs/>
        </w:rPr>
        <w:t xml:space="preserve">Make navigation visible:</w:t>
      </w:r>
      <w:r>
        <w:t xml:space="preserve"> </w:t>
      </w:r>
      <w:r>
        <w:t xml:space="preserve">record what the group figured out, what remains uncertain, and why the next investigation is needed.</w:t>
      </w:r>
    </w:p>
    <w:p>
      <w:pPr>
        <w:pStyle w:val="Compact"/>
        <w:numPr>
          <w:ilvl w:val="0"/>
          <w:numId w:val="1001"/>
        </w:numPr>
      </w:pPr>
      <w:r>
        <w:rPr>
          <w:b/>
          <w:bCs/>
        </w:rPr>
        <w:t xml:space="preserve">Create equivalent evidence routes:</w:t>
      </w:r>
      <w:r>
        <w:t xml:space="preserve"> </w:t>
      </w:r>
      <w:r>
        <w:t xml:space="preserve">physical or covered sample, shared microscope view, enlarged still image, drawing, sorting, tally, oral explanation, text, home language, partner, and paper.</w:t>
      </w:r>
    </w:p>
    <w:p>
      <w:pPr>
        <w:pStyle w:val="Compact"/>
        <w:numPr>
          <w:ilvl w:val="0"/>
          <w:numId w:val="1001"/>
        </w:numPr>
      </w:pPr>
      <w:r>
        <w:rPr>
          <w:b/>
          <w:bCs/>
        </w:rPr>
        <w:t xml:space="preserve">Compare claims with limits:</w:t>
      </w:r>
      <w:r>
        <w:t xml:space="preserve"> </w:t>
      </w:r>
      <w:r>
        <w:t xml:space="preserve">ask what each category, graph, sample, or source reveals; what it hides; and what additional evidence would be needed.</w:t>
      </w:r>
    </w:p>
    <w:p>
      <w:pPr>
        <w:pStyle w:val="Compact"/>
        <w:numPr>
          <w:ilvl w:val="0"/>
          <w:numId w:val="1001"/>
        </w:numPr>
      </w:pPr>
      <w:r>
        <w:rPr>
          <w:b/>
          <w:bCs/>
        </w:rPr>
        <w:t xml:space="preserve">Revise rather than reward speed:</w:t>
      </w:r>
      <w:r>
        <w:t xml:space="preserve"> </w:t>
      </w:r>
      <w:r>
        <w:t xml:space="preserve">preserve model versions and treat uncertainty, disagreement, and changed thinking as evidence of learning.</w:t>
      </w:r>
    </w:p>
    <w:p>
      <w:pPr>
        <w:pStyle w:val="Compact"/>
        <w:numPr>
          <w:ilvl w:val="0"/>
          <w:numId w:val="1001"/>
        </w:numPr>
      </w:pPr>
      <w:r>
        <w:rPr>
          <w:b/>
          <w:bCs/>
        </w:rPr>
        <w:t xml:space="preserve">Act without individual blame:</w:t>
      </w:r>
      <w:r>
        <w:t xml:space="preserve"> </w:t>
      </w:r>
      <w:r>
        <w:t xml:space="preserve">use art, audio, poster, or video to connect evidence to production, transportation, consumption, labor, policy, exposure, and unequal power.</w:t>
      </w:r>
    </w:p>
    <w:bookmarkEnd w:id="34"/>
    <w:bookmarkStart w:id="35" w:name="X7de7c4948d29fda3120869f1eed8e7693bebf1c"/>
    <w:p>
      <w:pPr>
        <w:pStyle w:val="Heading2"/>
      </w:pPr>
      <w:r>
        <w:t xml:space="preserve">What These Readings Do Not Solve Automatically</w:t>
      </w:r>
    </w:p>
    <w:p>
      <w:pPr>
        <w:pStyle w:val="FirstParagraph"/>
      </w:pPr>
      <w:r>
        <w:t xml:space="preserve">No routine is inclusive merely because it includes choice, collaboration, technology, a question board, or a public product. We still need evidence about who speaks, who is credited, who handles the tool, who does invisible group labor, who can sustain the pace, and whose language or identity is treated as scientific. Puzzle Plan alignment must be tested through participation and revision, not announced in a heading.</w:t>
      </w:r>
    </w:p>
    <w:bookmarkEnd w:id="35"/>
    <w:bookmarkStart w:id="36" w:name="questions-to-bring-to-class"/>
    <w:p>
      <w:pPr>
        <w:pStyle w:val="Heading2"/>
      </w:pPr>
      <w:r>
        <w:t xml:space="preserve">Questions To Bring To Class</w:t>
      </w:r>
    </w:p>
    <w:p>
      <w:pPr>
        <w:pStyle w:val="Compact"/>
        <w:numPr>
          <w:ilvl w:val="0"/>
          <w:numId w:val="1002"/>
        </w:numPr>
      </w:pPr>
      <w:r>
        <w:t xml:space="preserve">How can we preserve honest planning while avoiding pseudoagency when camp materials and time are already constrained?</w:t>
      </w:r>
    </w:p>
    <w:p>
      <w:pPr>
        <w:pStyle w:val="Compact"/>
        <w:numPr>
          <w:ilvl w:val="0"/>
          <w:numId w:val="1002"/>
        </w:numPr>
      </w:pPr>
      <w:r>
        <w:t xml:space="preserve">What evidence would show that a learner understands the causal model even if writing, speech, stamina, or technology use becomes a barrier?</w:t>
      </w:r>
    </w:p>
    <w:p>
      <w:pPr>
        <w:pStyle w:val="Compact"/>
        <w:numPr>
          <w:ilvl w:val="0"/>
          <w:numId w:val="1002"/>
        </w:numPr>
      </w:pPr>
      <w:r>
        <w:t xml:space="preserve">Which parts of the Invisible Invaders investigation genuinely allow youth knowledge to change the plan?</w:t>
      </w:r>
    </w:p>
    <w:p>
      <w:pPr>
        <w:pStyle w:val="Compact"/>
        <w:numPr>
          <w:ilvl w:val="0"/>
          <w:numId w:val="1002"/>
        </w:numPr>
      </w:pPr>
      <w:r>
        <w:t xml:space="preserve">How will we separate scientific reasoning from presentation polish and unequal group labor?</w:t>
      </w:r>
    </w:p>
    <w:p>
      <w:pPr>
        <w:pStyle w:val="Compact"/>
        <w:numPr>
          <w:ilvl w:val="0"/>
          <w:numId w:val="1002"/>
        </w:numPr>
      </w:pPr>
      <w:r>
        <w:t xml:space="preserve">What system-level action is supported by our evidence, and what claim would exceed it?</w:t>
      </w:r>
    </w:p>
    <w:bookmarkEnd w:id="36"/>
    <w:bookmarkStart w:id="39" w:name="heather-table-status"/>
    <w:p>
      <w:pPr>
        <w:pStyle w:val="Heading2"/>
      </w:pPr>
      <w:r>
        <w:t xml:space="preserve">Heather Table Status</w:t>
      </w:r>
    </w:p>
    <w:p>
      <w:pPr>
        <w:pStyle w:val="FirstParagraph"/>
      </w:pPr>
      <w:r>
        <w:t xml:space="preserve">All five readings, including Ippolito et al., are already represented in Piter's</w:t>
      </w:r>
      <w:r>
        <w:t xml:space="preserve"> </w:t>
      </w:r>
      <w:hyperlink r:id="rId37">
        <w:r>
          <w:rPr>
            <w:rStyle w:val="Hyperlink"/>
          </w:rPr>
          <w:t xml:space="preserve">personal EDU486 Heather Table</w:t>
        </w:r>
      </w:hyperlink>
      <w:r>
        <w:t xml:space="preserve">. The</w:t>
      </w:r>
      <w:r>
        <w:t xml:space="preserve"> </w:t>
      </w:r>
      <w:hyperlink r:id="rId38">
        <w:r>
          <w:rPr>
            <w:rStyle w:val="Hyperlink"/>
          </w:rPr>
          <w:t xml:space="preserve">Heather Table status record</w:t>
        </w:r>
      </w:hyperlink>
      <w:r>
        <w:t xml:space="preserve"> </w:t>
      </w:r>
      <w:r>
        <w:t xml:space="preserve">documents current coverage and the remaining sharing-permission check.</w:t>
      </w:r>
    </w:p>
    <w:bookmarkEnd w:id="39"/>
    <w:bookmarkStart w:id="49" w:name="direct-source-index"/>
    <w:p>
      <w:pPr>
        <w:pStyle w:val="Heading2"/>
      </w:pPr>
      <w:r>
        <w:t xml:space="preserve">Direct Source Index</w:t>
      </w:r>
    </w:p>
    <w:p>
      <w:pPr>
        <w:pStyle w:val="Compact"/>
        <w:numPr>
          <w:ilvl w:val="0"/>
          <w:numId w:val="1003"/>
        </w:numPr>
      </w:pPr>
      <w:r>
        <w:rPr>
          <w:b/>
          <w:bCs/>
        </w:rPr>
        <w:t xml:space="preserve">Reiser et al.:</w:t>
      </w:r>
      <w:r>
        <w:t xml:space="preserve"> </w:t>
      </w:r>
      <w:hyperlink r:id="rId40">
        <w:r>
          <w:rPr>
            <w:rStyle w:val="Hyperlink"/>
          </w:rPr>
          <w:t xml:space="preserve">open-access article</w:t>
        </w:r>
      </w:hyperlink>
      <w:r>
        <w:t xml:space="preserve">,</w:t>
      </w:r>
      <w:r>
        <w:t xml:space="preserve"> </w:t>
      </w:r>
      <w:hyperlink r:id="rId41">
        <w:r>
          <w:rPr>
            <w:rStyle w:val="Hyperlink"/>
          </w:rPr>
          <w:t xml:space="preserve">official Storylines overview</w:t>
        </w:r>
      </w:hyperlink>
      <w:r>
        <w:t xml:space="preserve">, and</w:t>
      </w:r>
      <w:r>
        <w:t xml:space="preserve"> </w:t>
      </w:r>
      <w:hyperlink r:id="rId42">
        <w:r>
          <w:rPr>
            <w:rStyle w:val="Hyperlink"/>
          </w:rPr>
          <w:t xml:space="preserve">official embedded video</w:t>
        </w:r>
      </w:hyperlink>
    </w:p>
    <w:p>
      <w:pPr>
        <w:pStyle w:val="Compact"/>
        <w:numPr>
          <w:ilvl w:val="0"/>
          <w:numId w:val="1003"/>
        </w:numPr>
      </w:pPr>
      <w:r>
        <w:rPr>
          <w:b/>
          <w:bCs/>
        </w:rPr>
        <w:t xml:space="preserve">Smetana et al.:</w:t>
      </w:r>
      <w:r>
        <w:t xml:space="preserve"> </w:t>
      </w:r>
      <w:hyperlink r:id="rId43">
        <w:r>
          <w:rPr>
            <w:rStyle w:val="Hyperlink"/>
          </w:rPr>
          <w:t xml:space="preserve">NSTA - Let's Be Litter Free</w:t>
        </w:r>
      </w:hyperlink>
    </w:p>
    <w:p>
      <w:pPr>
        <w:pStyle w:val="Compact"/>
        <w:numPr>
          <w:ilvl w:val="0"/>
          <w:numId w:val="1003"/>
        </w:numPr>
      </w:pPr>
      <w:r>
        <w:rPr>
          <w:b/>
          <w:bCs/>
        </w:rPr>
        <w:t xml:space="preserve">Wisbrock et al.:</w:t>
      </w:r>
      <w:r>
        <w:t xml:space="preserve"> </w:t>
      </w:r>
      <w:hyperlink r:id="rId44">
        <w:r>
          <w:rPr>
            <w:rStyle w:val="Hyperlink"/>
          </w:rPr>
          <w:t xml:space="preserve">NSTA - Talking Trash</w:t>
        </w:r>
      </w:hyperlink>
    </w:p>
    <w:p>
      <w:pPr>
        <w:pStyle w:val="Compact"/>
        <w:numPr>
          <w:ilvl w:val="0"/>
          <w:numId w:val="1003"/>
        </w:numPr>
      </w:pPr>
      <w:r>
        <w:rPr>
          <w:b/>
          <w:bCs/>
        </w:rPr>
        <w:t xml:space="preserve">Wiggins and McTighe:</w:t>
      </w:r>
      <w:r>
        <w:t xml:space="preserve"> </w:t>
      </w:r>
      <w:hyperlink r:id="rId45">
        <w:r>
          <w:rPr>
            <w:rStyle w:val="Hyperlink"/>
          </w:rPr>
          <w:t xml:space="preserve">ASCD book page</w:t>
        </w:r>
      </w:hyperlink>
      <w:r>
        <w:t xml:space="preserve"> </w:t>
      </w:r>
      <w:r>
        <w:t xml:space="preserve">and</w:t>
      </w:r>
      <w:r>
        <w:t xml:space="preserve"> </w:t>
      </w:r>
      <w:hyperlink r:id="rId46">
        <w:r>
          <w:rPr>
            <w:rStyle w:val="Hyperlink"/>
          </w:rPr>
          <w:t xml:space="preserve">ASCD Understanding by Design framework paper</w:t>
        </w:r>
      </w:hyperlink>
    </w:p>
    <w:p>
      <w:pPr>
        <w:pStyle w:val="Compact"/>
        <w:numPr>
          <w:ilvl w:val="0"/>
          <w:numId w:val="1003"/>
        </w:numPr>
      </w:pPr>
      <w:r>
        <w:rPr>
          <w:b/>
          <w:bCs/>
        </w:rPr>
        <w:t xml:space="preserve">Ippolito et al.:</w:t>
      </w:r>
      <w:r>
        <w:t xml:space="preserve"> </w:t>
      </w:r>
      <w:hyperlink r:id="rId47">
        <w:r>
          <w:rPr>
            <w:rStyle w:val="Hyperlink"/>
          </w:rPr>
          <w:t xml:space="preserve">NSTA - Learning Science and Literacy Together</w:t>
        </w:r>
      </w:hyperlink>
      <w:r>
        <w:t xml:space="preserve"> </w:t>
      </w:r>
      <w:r>
        <w:t xml:space="preserve">and</w:t>
      </w:r>
      <w:r>
        <w:t xml:space="preserve"> </w:t>
      </w:r>
      <w:hyperlink r:id="rId48">
        <w:r>
          <w:rPr>
            <w:rStyle w:val="Hyperlink"/>
          </w:rPr>
          <w:t xml:space="preserve">publisher issue record</w:t>
        </w:r>
      </w:hyperlink>
    </w:p>
    <w:bookmarkEnd w:id="49"/>
    <w:bookmarkStart w:id="50" w:name="ai-use-disclosure"/>
    <w:p>
      <w:pPr>
        <w:pStyle w:val="Heading2"/>
      </w:pPr>
      <w:r>
        <w:t xml:space="preserve">AI Use Disclosure</w:t>
      </w:r>
    </w:p>
    <w:p>
      <w:pPr>
        <w:pStyle w:val="FirstParagraph"/>
      </w:pPr>
      <w:r>
        <w:t xml:space="preserve">I used OpenAI Codex on July 14, 2026 to help structure and format the reading notes, compare the sources, create the visual map, and connect the readings to Puzzle Plan claims and the Invisible Invaders plan. I provided and guided the purpose, inclusion framework, course context, and final direction; I reviewed the content and remain responsible for the interpretations. AI was used to improve accessibility and source organization, not to replace reading, judgment, or accountability.</w:t>
      </w:r>
    </w:p>
    <w:bookmarkEnd w:id="50"/>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Type="http://schemas.openxmlformats.org/officeDocument/2006/relationships/numbering" Id="rId17" Target="numbering.xml"/><Relationship Type="http://schemas.openxmlformats.org/officeDocument/2006/relationships/styles" Id="rId16" Target="styles.xml"/><Relationship Type="http://schemas.openxmlformats.org/officeDocument/2006/relationships/settings" Id="rId15" Target="settings.xml"/><Relationship Type="http://schemas.openxmlformats.org/officeDocument/2006/relationships/webSettings" Id="rId14" Target="webSettings.xml"/><Relationship Type="http://schemas.openxmlformats.org/officeDocument/2006/relationships/fontTable" Id="rId13" Target="fontTable.xml"/><Relationship Type="http://schemas.openxmlformats.org/officeDocument/2006/relationships/theme" Id="rId12" Target="theme/theme1.xml"/><Relationship Type="http://schemas.openxmlformats.org/officeDocument/2006/relationships/footnotes" Id="rId11" Target="footnotes.xml"/><Relationship Type="http://schemas.openxmlformats.org/officeDocument/2006/relationships/comments" Id="rId10" Target="comments.xml"/><Relationship Id="rId9" Target="media/rId9.png" Type="http://schemas.openxmlformats.org/officeDocument/2006/relationships/image"/><Relationship Type="http://schemas.openxmlformats.org/officeDocument/2006/relationships/image" Id="rId18" Target="media/rId18.png"/><Relationship Type="http://schemas.openxmlformats.org/officeDocument/2006/relationships/hyperlink" Id="rId37" Target="https://docs.google.com/document/d/1Cnw_v00DsZclHObcmnljwXzEw-kiReCE6oStXrMoGAg/edit" TargetMode="External"/><Relationship Type="http://schemas.openxmlformats.org/officeDocument/2006/relationships/hyperlink" Id="rId40" Target="https://doi.org/10.1080/1046560X.2021.1884784" TargetMode="External"/><Relationship Type="http://schemas.openxmlformats.org/officeDocument/2006/relationships/hyperlink" Id="rId46" Target="https://files.ascd.org/staticfiles/ascd/pdf/siteASCD/publications/UbD_WhitePaper0312.pdf" TargetMode="External"/><Relationship Type="http://schemas.openxmlformats.org/officeDocument/2006/relationships/hyperlink" Id="rId32" Target="https://www.nsta.org/learning-science-and-literacy-together" TargetMode="External"/><Relationship Type="http://schemas.openxmlformats.org/officeDocument/2006/relationships/hyperlink" Id="rId24" Target="https://doi.org/10.1080/1046560X.2021.1884784" TargetMode="External"/><Relationship Type="http://schemas.openxmlformats.org/officeDocument/2006/relationships/hyperlink" Id="rId26" Target="https://www.nsta.org/lets-be-litter-free" TargetMode="External"/><Relationship Type="http://schemas.openxmlformats.org/officeDocument/2006/relationships/hyperlink" Id="rId30" Target="https://www.ascd.org/books/understanding-by-design-expanded-2nd-edition?chapter=planning-for-learning" TargetMode="External"/><Relationship Type="http://schemas.openxmlformats.org/officeDocument/2006/relationships/hyperlink" Id="rId28" Target="https://www.nsta.org/science-and-children/science-and-children-aprilmay-2020/talking-trash" TargetMode="External"/><Relationship Type="http://schemas.openxmlformats.org/officeDocument/2006/relationships/hyperlink" Id="rId38" Target="https://docs.google.com/document/d/1Cnw_v00DsZclHObcmnljwXzEw-kiReCE6oStXrMoGAg/edit" TargetMode="External"/><Relationship Type="http://schemas.openxmlformats.org/officeDocument/2006/relationships/hyperlink" Id="rId21" Target="https://drive.google.com/file/d/1-oqeF3pbt0vWi_mgLBhUSYNlO3YAy2H3/view" TargetMode="External"/><Relationship Type="http://schemas.openxmlformats.org/officeDocument/2006/relationships/hyperlink" Id="rId23" Target="https://drive.google.com/file/d/1VVvTRQg1K2Gy9UWzvScpDk0ovPMmppQU/view" TargetMode="External"/><Relationship Type="http://schemas.openxmlformats.org/officeDocument/2006/relationships/hyperlink" Id="rId22" Target="https://drive.google.com/file/d/1VVvTRQg1K2Gy9UWzvScpDk0ovPMmppQU/view" TargetMode="External"/><Relationship Type="http://schemas.openxmlformats.org/officeDocument/2006/relationships/hyperlink" Id="rId42" Target="https://player.vimeo.com/video/350820566" TargetMode="External"/><Relationship Type="http://schemas.openxmlformats.org/officeDocument/2006/relationships/hyperlink" Id="rId45" Target="https://www.ascd.org/books/understanding-by-design-expanded-2nd-edition?chapter=planning-for-learning" TargetMode="External"/><Relationship Type="http://schemas.openxmlformats.org/officeDocument/2006/relationships/hyperlink" Id="rId41" Target="https://www.nextgenstorylines.org/what-are-storylines" TargetMode="External"/><Relationship Type="http://schemas.openxmlformats.org/officeDocument/2006/relationships/hyperlink" Id="rId47" Target="https://www.nsta.org/learning-science-and-literacy-together" TargetMode="External"/><Relationship Type="http://schemas.openxmlformats.org/officeDocument/2006/relationships/hyperlink" Id="rId43" Target="https://www.nsta.org/lets-be-litter-free" TargetMode="External"/><Relationship Type="http://schemas.openxmlformats.org/officeDocument/2006/relationships/hyperlink" Id="rId44" Target="https://www.nsta.org/science-and-children/science-and-children-aprilmay-2020/talking-trash" TargetMode="External"/><Relationship Type="http://schemas.openxmlformats.org/officeDocument/2006/relationships/hyperlink" Id="rId48" Target="https://www.tandfonline.com/toc/usch20/56/4" TargetMode="External"/></Relationships>
</file>

<file path=word/_rels/footnotes.xml.rels><?xml version='1.0' encoding='UTF-8' standalone='yes'?>
<Relationships xmlns="http://schemas.openxmlformats.org/package/2006/relationships"><Relationship Type="http://schemas.openxmlformats.org/officeDocument/2006/relationships/hyperlink" Id="rId37" Target="https://docs.google.com/document/d/1Cnw_v00DsZclHObcmnljwXzEw-kiReCE6oStXrMoGAg/edit" TargetMode="External"/><Relationship Type="http://schemas.openxmlformats.org/officeDocument/2006/relationships/hyperlink" Id="rId40" Target="https://doi.org/10.1080/1046560X.2021.1884784" TargetMode="External"/><Relationship Type="http://schemas.openxmlformats.org/officeDocument/2006/relationships/hyperlink" Id="rId46" Target="https://files.ascd.org/staticfiles/ascd/pdf/siteASCD/publications/UbD_WhitePaper0312.pdf" TargetMode="External"/><Relationship Type="http://schemas.openxmlformats.org/officeDocument/2006/relationships/hyperlink" Id="rId32" Target="https://www.nsta.org/learning-science-and-literacy-together" TargetMode="External"/><Relationship Type="http://schemas.openxmlformats.org/officeDocument/2006/relationships/hyperlink" Id="rId24" Target="https://doi.org/10.1080/1046560X.2021.1884784" TargetMode="External"/><Relationship Type="http://schemas.openxmlformats.org/officeDocument/2006/relationships/hyperlink" Id="rId26" Target="https://www.nsta.org/lets-be-litter-free" TargetMode="External"/><Relationship Type="http://schemas.openxmlformats.org/officeDocument/2006/relationships/hyperlink" Id="rId30" Target="https://www.ascd.org/books/understanding-by-design-expanded-2nd-edition?chapter=planning-for-learning" TargetMode="External"/><Relationship Type="http://schemas.openxmlformats.org/officeDocument/2006/relationships/hyperlink" Id="rId28" Target="https://www.nsta.org/science-and-children/science-and-children-aprilmay-2020/talking-trash" TargetMode="External"/><Relationship Type="http://schemas.openxmlformats.org/officeDocument/2006/relationships/hyperlink" Id="rId38" Target="https://docs.google.com/document/d/1Cnw_v00DsZclHObcmnljwXzEw-kiReCE6oStXrMoGAg/edit" TargetMode="External"/><Relationship Type="http://schemas.openxmlformats.org/officeDocument/2006/relationships/hyperlink" Id="rId21" Target="https://drive.google.com/file/d/1-oqeF3pbt0vWi_mgLBhUSYNlO3YAy2H3/view" TargetMode="External"/><Relationship Type="http://schemas.openxmlformats.org/officeDocument/2006/relationships/hyperlink" Id="rId23" Target="https://drive.google.com/file/d/1VVvTRQg1K2Gy9UWzvScpDk0ovPMmppQU/view" TargetMode="External"/><Relationship Type="http://schemas.openxmlformats.org/officeDocument/2006/relationships/hyperlink" Id="rId22" Target="https://drive.google.com/file/d/1VVvTRQg1K2Gy9UWzvScpDk0ovPMmppQU/view" TargetMode="External"/><Relationship Type="http://schemas.openxmlformats.org/officeDocument/2006/relationships/hyperlink" Id="rId42" Target="https://player.vimeo.com/video/350820566" TargetMode="External"/><Relationship Type="http://schemas.openxmlformats.org/officeDocument/2006/relationships/hyperlink" Id="rId45" Target="https://www.ascd.org/books/understanding-by-design-expanded-2nd-edition?chapter=planning-for-learning" TargetMode="External"/><Relationship Type="http://schemas.openxmlformats.org/officeDocument/2006/relationships/hyperlink" Id="rId41" Target="https://www.nextgenstorylines.org/what-are-storylines" TargetMode="External"/><Relationship Type="http://schemas.openxmlformats.org/officeDocument/2006/relationships/hyperlink" Id="rId47" Target="https://www.nsta.org/learning-science-and-literacy-together" TargetMode="External"/><Relationship Type="http://schemas.openxmlformats.org/officeDocument/2006/relationships/hyperlink" Id="rId43" Target="https://www.nsta.org/lets-be-litter-free" TargetMode="External"/><Relationship Type="http://schemas.openxmlformats.org/officeDocument/2006/relationships/hyperlink" Id="rId44" Target="https://www.nsta.org/science-and-children/science-and-children-aprilmay-2020/talking-trash" TargetMode="External"/><Relationship Type="http://schemas.openxmlformats.org/officeDocument/2006/relationships/hyperlink" Id="rId48" Target="https://www.tandfonline.com/toc/usch20/56/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2026-07-14T08:58:36Z</dcterms:created>
  <dcterms:modified xsi:type="dcterms:W3CDTF">2026-07-14T08:58:36Z</dcterms:modified>
</cp:coreProperties>
</file>

<file path=docProps/custom.xml><?xml version="1.0" encoding="utf-8"?>
<Properties xmlns="http://schemas.openxmlformats.org/officeDocument/2006/custom-properties" xmlns:vt="http://schemas.openxmlformats.org/officeDocument/2006/docPropsVTypes"/>
</file>