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6d852297519411a1061a8959b93597ccd9082bc"/>
    <w:p>
      <w:pPr>
        <w:pStyle w:val="Heading1"/>
      </w:pPr>
      <w:r>
        <w:t xml:space="preserve">Visualizing Our Grounding Frameworks - Part 1</w:t>
      </w:r>
    </w:p>
    <w:p>
      <w:pPr>
        <w:pStyle w:val="FirstParagraph"/>
      </w:pPr>
      <w:r>
        <w:rPr>
          <w:b/>
          <w:bCs/>
        </w:rPr>
        <w:t xml:space="preserve">Piter Z. Garcia Bautista</w:t>
      </w:r>
      <w:r>
        <w:br/>
      </w:r>
      <w:r>
        <w:t xml:space="preserve">EDU486 - Integrating Science and Technology</w:t>
      </w:r>
      <w:r>
        <w:br/>
      </w:r>
      <w:r>
        <w:t xml:space="preserve">Due July 14, 2026</w:t>
      </w:r>
    </w:p>
    <w:bookmarkStart w:id="12" w:name="X068512b2125f2b9d77dc76c57de895311ea432d"/>
    <w:p>
      <w:pPr>
        <w:pStyle w:val="Heading2"/>
      </w:pPr>
      <w:r>
        <w:t xml:space="preserve">Access-to-Agency STEM: Technology, Bodymind Access, and Justice</w:t>
      </w:r>
    </w:p>
    <w:p>
      <w:pPr>
        <w:pStyle w:val="FirstParagraph"/>
      </w:pPr>
      <w:r>
        <w:t xml:space="preserve">My visualization connects the JuST Framework, technology integration, and my EQUITAS/Puzzle Plan commitment to neurodivergent, chronically ill, disabled, culturally and linguistically diverse, multilingual, and multiply marginalized learners.</w:t>
      </w:r>
    </w:p>
    <w:p>
      <w:pPr>
        <w:pStyle w:val="BodyText"/>
      </w:pPr>
      <w:r>
        <w:t xml:space="preserve">My central claim is that technology is not automatically liberating or harmful. It matters when it helps youth ask stronger questions, access rigorous STEM ideas, collect and interpret evidence, communicate in multiple modes, and act without being forced into one narrow body, language, pace, stamina, or expression style.</w:t>
      </w:r>
    </w:p>
    <w:p>
      <w:pPr>
        <w:pStyle w:val="BodyText"/>
      </w:pPr>
      <w:r>
        <w:drawing>
          <wp:inline>
            <wp:extent cx="5334000" cy="3667125"/>
            <wp:effectExtent b="0" l="0" r="0" t="0"/>
            <wp:docPr descr="Access-to-Agency STEM grounding framework" title="" id="10" name="Picture"/>
            <a:graphic>
              <a:graphicData uri="http://schemas.openxmlformats.org/drawingml/2006/picture">
                <pic:pic>
                  <pic:nvPicPr>
                    <pic:cNvPr descr="grounding-frameworks-visual.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3667125"/>
                    </a:xfrm>
                    <a:prstGeom prst="rect">
                      <a:avLst/>
                    </a:prstGeom>
                    <a:noFill/>
                    <a:ln w="9525">
                      <a:noFill/>
                      <a:headEnd/>
                      <a:tailEnd/>
                    </a:ln>
                  </pic:spPr>
                </pic:pic>
              </a:graphicData>
            </a:graphic>
          </wp:inline>
        </w:drawing>
      </w:r>
    </w:p>
    <w:bookmarkEnd w:id="12"/>
    <w:bookmarkStart w:id="13" w:name="reading-the-visual"/>
    <w:p>
      <w:pPr>
        <w:pStyle w:val="Heading2"/>
      </w:pPr>
      <w:r>
        <w:t xml:space="preserve">Reading The Visual</w:t>
      </w:r>
    </w:p>
    <w:p>
      <w:pPr>
        <w:pStyle w:val="FirstParagraph"/>
      </w:pPr>
      <w:r>
        <w:rPr>
          <w:b/>
          <w:bCs/>
        </w:rPr>
        <w:t xml:space="preserve">Community before tool.</w:t>
      </w:r>
      <w:r>
        <w:t xml:space="preserve"> </w:t>
      </w:r>
      <w:r>
        <w:t xml:space="preserve">Justice-centered STEM begins with belonging, trust, sensory and language access, flexible energy pathways, and meaningful roles. Students need room to bring family knowledge, disability culture, local experience, and questions.</w:t>
      </w:r>
    </w:p>
    <w:p>
      <w:pPr>
        <w:pStyle w:val="BodyText"/>
      </w:pPr>
      <w:r>
        <w:rPr>
          <w:b/>
          <w:bCs/>
        </w:rPr>
        <w:t xml:space="preserve">JuST keeps the moral purpose visible.</w:t>
      </w:r>
      <w:r>
        <w:t xml:space="preserve"> </w:t>
      </w:r>
      <w:r>
        <w:t xml:space="preserve">I must plan for meaningfulness and justice, elicit student culture, revise with diverse and local expertise, and use learning to act. Culture includes disability, chronic-illness pacing, multilingual practices, and intersecting identities.</w:t>
      </w:r>
    </w:p>
    <w:p>
      <w:pPr>
        <w:pStyle w:val="BodyText"/>
      </w:pPr>
      <w:r>
        <w:rPr>
          <w:b/>
          <w:bCs/>
        </w:rPr>
        <w:t xml:space="preserve">Technology is design material, not the goal.</w:t>
      </w:r>
      <w:r>
        <w:t xml:space="preserve"> </w:t>
      </w:r>
      <w:r>
        <w:t xml:space="preserve">Maps, microscope cameras, audio, spreadsheets, and AI can expand access, evidence, creation, and audience. They can also add surveillance, bias, sensory or language load, fatigue, and inaccessible steps.</w:t>
      </w:r>
    </w:p>
    <w:p>
      <w:pPr>
        <w:pStyle w:val="BodyText"/>
      </w:pPr>
      <w:r>
        <w:rPr>
          <w:b/>
          <w:bCs/>
        </w:rPr>
        <w:t xml:space="preserve">PICRAT examines participation.</w:t>
      </w:r>
      <w:r>
        <w:t xml:space="preserve"> </w:t>
      </w:r>
      <w:r>
        <w:t xml:space="preserve">Replacement may improve access without being transformation. Justice purpose and what youth do with technology matter more than novelty.</w:t>
      </w:r>
    </w:p>
    <w:p>
      <w:pPr>
        <w:pStyle w:val="BodyText"/>
      </w:pPr>
      <w:r>
        <w:rPr>
          <w:b/>
          <w:bCs/>
        </w:rPr>
        <w:t xml:space="preserve">EQUITAS asks:</w:t>
      </w:r>
      <w:r>
        <w:t xml:space="preserve"> </w:t>
      </w:r>
      <w:r>
        <w:t xml:space="preserve">Which barriers are mislabeled as lack of ability? Evidence should reveal thinking without treating stamina, speech, speed, handwriting, English dominance, or tool comfort as proxies for understanding.</w:t>
      </w:r>
    </w:p>
    <w:bookmarkEnd w:id="13"/>
    <w:bookmarkStart w:id="14" w:name="camp-application"/>
    <w:p>
      <w:pPr>
        <w:pStyle w:val="Heading2"/>
      </w:pPr>
      <w:r>
        <w:t xml:space="preserve">Camp Application</w:t>
      </w:r>
    </w:p>
    <w:p>
      <w:pPr>
        <w:pStyle w:val="FirstParagraph"/>
      </w:pPr>
      <w:r>
        <w:t xml:space="preserve">In plastics camp, youth can investigate how pollution becomes visible, measured, interpreted, and communicated while also examining who experiences pollution, who controls decisions, and whose observations count.</w:t>
      </w:r>
    </w:p>
    <w:p>
      <w:pPr>
        <w:pStyle w:val="BodyText"/>
      </w:pPr>
      <w:r>
        <w:t xml:space="preserve">Students might observe, sort, count, photograph, map, model, draw, speak, build, caption, or record patterns. Technology should support those pathways without replacing direct observation or community knowledge. Youth should also explain what their evidence cannot show and whom a tool includes or excludes.</w:t>
      </w:r>
    </w:p>
    <w:p>
      <w:pPr>
        <w:pStyle w:val="BodyText"/>
      </w:pPr>
      <w:r>
        <w:t xml:space="preserve">The final action should be more than a polished product. Campers should use scientific models, data, art, and communication to advocate for a more just future with a real audience.</w:t>
      </w:r>
    </w:p>
    <w:bookmarkEnd w:id="14"/>
    <w:bookmarkStart w:id="15" w:name="reflection"/>
    <w:p>
      <w:pPr>
        <w:pStyle w:val="Heading2"/>
      </w:pPr>
      <w:r>
        <w:t xml:space="preserve">Reflection</w:t>
      </w:r>
    </w:p>
    <w:p>
      <w:pPr>
        <w:pStyle w:val="FirstParagraph"/>
      </w:pPr>
      <w:r>
        <w:t xml:space="preserve">I understand JuST as a cycle of relationship, inquiry, revision, and action that makes STEM accountable to students and communities, not only content coverage. Community is not only geographic; it includes learners whose thinking is often hidden by school routines.</w:t>
      </w:r>
    </w:p>
    <w:p>
      <w:pPr>
        <w:pStyle w:val="BodyText"/>
      </w:pPr>
      <w:r>
        <w:t xml:space="preserve">Technology belongs when it expands participation, meaning-making, or action. It becomes harmful when it narrows learning to screens, surveillance, inaccessible sequences, or polished products without purpose. Data can reveal patterns while hiding people; AI can accelerate exploration while flattening local experience.</w:t>
      </w:r>
    </w:p>
    <w:p>
      <w:pPr>
        <w:pStyle w:val="BodyText"/>
      </w:pPr>
      <w:r>
        <w:t xml:space="preserve">My working commitment is to design technology-supported STEM where youth are observers, questioners, builders, critics, communicators, access designers, and advocates. After camp, I will revise this framework using evidence about who participated, which barriers appeared, how students' models changed, and whether technology expanded agency.</w:t>
      </w:r>
    </w:p>
    <w:bookmarkEnd w:id="15"/>
    <w:bookmarkStart w:id="16" w:name="ai-use-disclosure"/>
    <w:p>
      <w:pPr>
        <w:pStyle w:val="Heading2"/>
      </w:pPr>
      <w:r>
        <w:t xml:space="preserve">AI Use Disclosure</w:t>
      </w:r>
    </w:p>
    <w:p>
      <w:pPr>
        <w:pStyle w:val="FirstParagraph"/>
      </w:pPr>
      <w:r>
        <w:t xml:space="preserve">OpenAI Codex (GPT-5) supported synthesis, organization, drafting, and export preparation on July 1 and 13, 2026. I reviewed the work and am responsible for the final submission.</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2026-07-14T02:11:22Z</dcterms:created>
  <dcterms:modified xsi:type="dcterms:W3CDTF">2026-07-14T02:11:22Z</dcterms:modified>
</cp:coreProperties>
</file>

<file path=docProps/custom.xml><?xml version="1.0" encoding="utf-8"?>
<Properties xmlns="http://schemas.openxmlformats.org/officeDocument/2006/custom-properties" xmlns:vt="http://schemas.openxmlformats.org/officeDocument/2006/docPropsVTypes"/>
</file>