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session-5-reading-notes---july-14-2026"/>
    <w:p>
      <w:pPr>
        <w:pStyle w:val="Heading1"/>
      </w:pPr>
      <w:r>
        <w:t xml:space="preserve">Session 5 Reading Notes - July 14, 2026</w:t>
      </w:r>
    </w:p>
    <w:p>
      <w:pPr>
        <w:pStyle w:val="FirstParagraph"/>
      </w:pPr>
      <w:r>
        <w:t xml:space="preserve">These notes match the completed rows in the</w:t>
      </w:r>
      <w:r>
        <w:t xml:space="preserve"> </w:t>
      </w:r>
      <w:hyperlink r:id="rId9">
        <w:r>
          <w:rPr>
            <w:rStyle w:val="Hyperlink"/>
          </w:rPr>
          <w:t xml:space="preserve">personal EDU486 Heather Table</w:t>
        </w:r>
      </w:hyperlink>
      <w:r>
        <w:t xml:space="preserve">. The throughline is student-perspective coherence plus access-to-agency: the learning path should be intellectually rigorous and visible without requiring every learner to use the same body, language, pace, stamina, or expression mode.</w:t>
      </w:r>
    </w:p>
    <w:bookmarkStart w:id="11" w:name="reiser-et-al---storyline-units"/>
    <w:p>
      <w:pPr>
        <w:pStyle w:val="Heading2"/>
      </w:pPr>
      <w:r>
        <w:t xml:space="preserve">Reiser et al. - Storyline Units</w:t>
      </w:r>
    </w:p>
    <w:p>
      <w:pPr>
        <w:pStyle w:val="FirstParagraph"/>
      </w:pPr>
      <w:r>
        <w:rPr>
          <w:b/>
          <w:bCs/>
        </w:rPr>
        <w:t xml:space="preserve">Main point:</w:t>
      </w:r>
      <w:r>
        <w:t xml:space="preserve"> </w:t>
      </w:r>
      <w:r>
        <w:t xml:space="preserve">Storylines create coherence from students' perspective. Each lesson is motivated by a question the class needs to answer about an anchoring phenomenon, and each step advances a shared explanation or solution.</w:t>
      </w:r>
    </w:p>
    <w:p>
      <w:pPr>
        <w:pStyle w:val="BodyText"/>
      </w:pPr>
      <w:r>
        <w:rPr>
          <w:b/>
          <w:bCs/>
        </w:rPr>
        <w:t xml:space="preserve">Findings/design principles:</w:t>
      </w:r>
      <w:r>
        <w:t xml:space="preserve"> </w:t>
      </w:r>
      <w:r>
        <w:t xml:space="preserve">Anchoring phenomena, student questions, investigations, navigation, and revision help a class incrementally build and test explanations. Equity depends on student agency and connections between disciplinary practices and culturally meaningful ways of knowing.</w:t>
      </w:r>
    </w:p>
    <w:p>
      <w:pPr>
        <w:pStyle w:val="BodyText"/>
      </w:pPr>
      <w:r>
        <w:rPr>
          <w:b/>
          <w:bCs/>
        </w:rPr>
        <w:t xml:space="preserve">Short quotation:</w:t>
      </w:r>
      <w:r>
        <w:t xml:space="preserve"> </w:t>
      </w:r>
      <w:r>
        <w:t xml:space="preserve">"Students can be collaborators in the process of identifying where they need to go" (p. 808).</w:t>
      </w:r>
    </w:p>
    <w:p>
      <w:pPr>
        <w:pStyle w:val="BodyText"/>
      </w:pPr>
      <w:r>
        <w:rPr>
          <w:b/>
          <w:bCs/>
        </w:rPr>
        <w:t xml:space="preserve">Camp question:</w:t>
      </w:r>
      <w:r>
        <w:t xml:space="preserve"> </w:t>
      </w:r>
      <w:r>
        <w:t xml:space="preserve">Can each activity answer a question campers helped raise, while making the next step explicit enough that neurodivergent, chronically ill, multilingual, and multiply marginalized youth do not have to infer a hidden plan?</w:t>
      </w:r>
    </w:p>
    <w:p>
      <w:pPr>
        <w:pStyle w:val="BodyText"/>
      </w:pPr>
      <w:r>
        <w:t xml:space="preserve">The</w:t>
      </w:r>
      <w:r>
        <w:t xml:space="preserve"> </w:t>
      </w:r>
      <w:hyperlink r:id="rId10">
        <w:r>
          <w:rPr>
            <w:rStyle w:val="Hyperlink"/>
          </w:rPr>
          <w:t xml:space="preserve">official Next Generation Science Storylines overview</w:t>
        </w:r>
      </w:hyperlink>
      <w:r>
        <w:t xml:space="preserve"> </w:t>
      </w:r>
      <w:r>
        <w:t xml:space="preserve">reinforces that students should be able to explain what question or problem they are working on and why the next step is needed.</w:t>
      </w:r>
    </w:p>
    <w:bookmarkEnd w:id="11"/>
    <w:bookmarkStart w:id="12" w:name="wisbrock-et-al---talking-trash"/>
    <w:p>
      <w:pPr>
        <w:pStyle w:val="Heading2"/>
      </w:pPr>
      <w:r>
        <w:t xml:space="preserve">Wisbrock et al. - Talking Trash</w:t>
      </w:r>
    </w:p>
    <w:p>
      <w:pPr>
        <w:pStyle w:val="FirstParagraph"/>
      </w:pPr>
      <w:r>
        <w:rPr>
          <w:b/>
          <w:bCs/>
        </w:rPr>
        <w:t xml:space="preserve">Main point:</w:t>
      </w:r>
      <w:r>
        <w:t xml:space="preserve"> </w:t>
      </w:r>
      <w:r>
        <w:t xml:space="preserve">A visible local problem can anchor inquiry that moves from noticing and measuring trash to researching consequences and communicating evidence through a community-facing public service announcement.</w:t>
      </w:r>
    </w:p>
    <w:p>
      <w:pPr>
        <w:pStyle w:val="BodyText"/>
      </w:pPr>
      <w:r>
        <w:rPr>
          <w:b/>
          <w:bCs/>
        </w:rPr>
        <w:t xml:space="preserve">Findings/design:</w:t>
      </w:r>
      <w:r>
        <w:t xml:space="preserve"> </w:t>
      </w:r>
      <w:r>
        <w:t xml:space="preserve">A local expert, lunch-waste tally, pathway model, supported vocabulary and research, and multimodal public service announcements move students from observation to community communication. The unit includes language and learning supports plus a non-digital presentation option.</w:t>
      </w:r>
    </w:p>
    <w:p>
      <w:pPr>
        <w:pStyle w:val="BodyText"/>
      </w:pPr>
      <w:r>
        <w:rPr>
          <w:b/>
          <w:bCs/>
        </w:rPr>
        <w:t xml:space="preserve">Short quotation:</w:t>
      </w:r>
      <w:r>
        <w:t xml:space="preserve"> </w:t>
      </w:r>
      <w:r>
        <w:t xml:space="preserve">"Trash is a concrete example of pollution, something that students can easily see and relate to" (p. 29).</w:t>
      </w:r>
    </w:p>
    <w:p>
      <w:pPr>
        <w:pStyle w:val="BodyText"/>
      </w:pPr>
      <w:r>
        <w:rPr>
          <w:b/>
          <w:bCs/>
        </w:rPr>
        <w:t xml:space="preserve">Camp question:</w:t>
      </w:r>
      <w:r>
        <w:t xml:space="preserve"> </w:t>
      </w:r>
      <w:r>
        <w:t xml:space="preserve">How can we preserve the local-data-to-public-action arc while designing access from the start through role choice, low-energy participation, home-language sensemaking, non-screen options, and multiple ways to communicate evidence?</w:t>
      </w:r>
    </w:p>
    <w:bookmarkEnd w:id="12"/>
    <w:bookmarkStart w:id="13" w:name="smetana-et-al---lets-be-litter-free"/>
    <w:p>
      <w:pPr>
        <w:pStyle w:val="Heading2"/>
      </w:pPr>
      <w:r>
        <w:t xml:space="preserve">Smetana et al. - Let's Be Litter Free</w:t>
      </w:r>
    </w:p>
    <w:p>
      <w:pPr>
        <w:pStyle w:val="FirstParagraph"/>
      </w:pPr>
      <w:r>
        <w:rPr>
          <w:b/>
          <w:bCs/>
        </w:rPr>
        <w:t xml:space="preserve">Main point:</w:t>
      </w:r>
      <w:r>
        <w:t xml:space="preserve"> </w:t>
      </w:r>
      <w:r>
        <w:t xml:space="preserve">Youth investigate anthropogenic litter in local ecosystems, analyze patterns and limits in their evidence, and use what they learn to propose community responses.</w:t>
      </w:r>
    </w:p>
    <w:p>
      <w:pPr>
        <w:pStyle w:val="BodyText"/>
      </w:pPr>
      <w:r>
        <w:rPr>
          <w:b/>
          <w:bCs/>
        </w:rPr>
        <w:t xml:space="preserve">Findings/design:</w:t>
      </w:r>
      <w:r>
        <w:t xml:space="preserve"> </w:t>
      </w:r>
      <w:r>
        <w:t xml:space="preserve">Students collect or examine local litter data, categorize it by use, material, place, and time, graph patterns, and evaluate which claims the evidence can and cannot support. Safety guidance and a photo-based alternative widen participation.</w:t>
      </w:r>
    </w:p>
    <w:p>
      <w:pPr>
        <w:pStyle w:val="BodyText"/>
      </w:pPr>
      <w:r>
        <w:rPr>
          <w:b/>
          <w:bCs/>
        </w:rPr>
        <w:t xml:space="preserve">Short quotation:</w:t>
      </w:r>
      <w:r>
        <w:t xml:space="preserve"> </w:t>
      </w:r>
      <w:r>
        <w:t xml:space="preserve">"Measuring litter (what, where, how much) is important because it helps determine future solutions" (p. 42).</w:t>
      </w:r>
    </w:p>
    <w:p>
      <w:pPr>
        <w:pStyle w:val="BodyText"/>
      </w:pPr>
      <w:r>
        <w:rPr>
          <w:b/>
          <w:bCs/>
        </w:rPr>
        <w:t xml:space="preserve">Camp question:</w:t>
      </w:r>
      <w:r>
        <w:t xml:space="preserve"> </w:t>
      </w:r>
      <w:r>
        <w:t xml:space="preserve">How can campers investigate who produces, bears, and controls plastic waste without placing responsibility only on individuals, and how can students who cannot safely collect outdoors still do rigorous analysis and advocacy?</w:t>
      </w:r>
    </w:p>
    <w:bookmarkEnd w:id="13"/>
    <w:bookmarkStart w:id="14" w:name="X467524f14974ccf34cb247b6c4b0b7deaa494f8"/>
    <w:p>
      <w:pPr>
        <w:pStyle w:val="Heading2"/>
      </w:pPr>
      <w:r>
        <w:t xml:space="preserve">Wiggins and McTighe - Understanding by Design, Chapter 1</w:t>
      </w:r>
    </w:p>
    <w:p>
      <w:pPr>
        <w:pStyle w:val="FirstParagraph"/>
      </w:pPr>
      <w:r>
        <w:rPr>
          <w:b/>
          <w:bCs/>
        </w:rPr>
        <w:t xml:space="preserve">Main point:</w:t>
      </w:r>
      <w:r>
        <w:t xml:space="preserve"> </w:t>
      </w:r>
      <w:r>
        <w:t xml:space="preserve">Planning begins with the understanding and transfer learners should achieve, then the evidence that would demonstrate it, and only then the activities, tools, and materials.</w:t>
      </w:r>
    </w:p>
    <w:p>
      <w:pPr>
        <w:pStyle w:val="BodyText"/>
      </w:pPr>
      <w:r>
        <w:rPr>
          <w:b/>
          <w:bCs/>
        </w:rPr>
        <w:t xml:space="preserve">Findings/design:</w:t>
      </w:r>
      <w:r>
        <w:t xml:space="preserve"> </w:t>
      </w:r>
      <w:r>
        <w:t xml:space="preserve">Backward design has three stages: identify desired results, determine acceptable evidence, and plan learning experiences and instruction. The authors warn against activity-oriented teaching without clear intellectual purpose and content coverage without understanding.</w:t>
      </w:r>
    </w:p>
    <w:p>
      <w:pPr>
        <w:pStyle w:val="BodyText"/>
      </w:pPr>
      <w:r>
        <w:rPr>
          <w:b/>
          <w:bCs/>
        </w:rPr>
        <w:t xml:space="preserve">Short quotation:</w:t>
      </w:r>
      <w:r>
        <w:t xml:space="preserve"> </w:t>
      </w:r>
      <w:r>
        <w:t xml:space="preserve">"The best designs derive backward from the learnings sought" (p. 14).</w:t>
      </w:r>
    </w:p>
    <w:p>
      <w:pPr>
        <w:pStyle w:val="BodyText"/>
      </w:pPr>
      <w:r>
        <w:rPr>
          <w:b/>
          <w:bCs/>
        </w:rPr>
        <w:t xml:space="preserve">Camp question:</w:t>
      </w:r>
      <w:r>
        <w:t xml:space="preserve"> </w:t>
      </w:r>
      <w:r>
        <w:t xml:space="preserve">What should campers understand and explain about their phenomenon by Thursday, and what multimodal evidence can show that understanding without confusing stamina, speech, handwriting, or speed with learning?</w:t>
      </w:r>
    </w:p>
    <w:bookmarkEnd w:id="14"/>
    <w:bookmarkStart w:id="15" w:name="ippolito-et-al---teaching-teachers"/>
    <w:p>
      <w:pPr>
        <w:pStyle w:val="Heading2"/>
      </w:pPr>
      <w:r>
        <w:t xml:space="preserve">Ippolito et al. - Teaching Teachers</w:t>
      </w:r>
    </w:p>
    <w:p>
      <w:pPr>
        <w:pStyle w:val="FirstParagraph"/>
      </w:pPr>
      <w:r>
        <w:rPr>
          <w:b/>
          <w:bCs/>
        </w:rPr>
        <w:t xml:space="preserve">Main point:</w:t>
      </w:r>
      <w:r>
        <w:t xml:space="preserve"> </w:t>
      </w:r>
      <w:r>
        <w:t xml:space="preserve">Science and literacy develop together when youth read, write, talk, observe, and investigate as scientists, while teachers use student work and discussion to adjust instruction.</w:t>
      </w:r>
    </w:p>
    <w:p>
      <w:pPr>
        <w:pStyle w:val="BodyText"/>
      </w:pPr>
      <w:r>
        <w:rPr>
          <w:b/>
          <w:bCs/>
        </w:rPr>
        <w:t xml:space="preserve">Findings:</w:t>
      </w:r>
      <w:r>
        <w:t xml:space="preserve"> </w:t>
      </w:r>
      <w:r>
        <w:t xml:space="preserve">In a summer program serving more than 200 students with 30 teachers, students showed science growth and averaged three to four months of reading growth. Teachers shifted toward student-generated questions, research teams, evidence, autonomy, and coaching.</w:t>
      </w:r>
    </w:p>
    <w:p>
      <w:pPr>
        <w:pStyle w:val="BodyText"/>
      </w:pPr>
      <w:r>
        <w:rPr>
          <w:b/>
          <w:bCs/>
        </w:rPr>
        <w:t xml:space="preserve">Short quotation:</w:t>
      </w:r>
      <w:r>
        <w:t xml:space="preserve"> </w:t>
      </w:r>
      <w:r>
        <w:t xml:space="preserve">"Teachers described needing to 'get out of the way' of student learning" (p. 95).</w:t>
      </w:r>
    </w:p>
    <w:p>
      <w:pPr>
        <w:pStyle w:val="BodyText"/>
      </w:pPr>
      <w:r>
        <w:rPr>
          <w:b/>
          <w:bCs/>
        </w:rPr>
        <w:t xml:space="preserve">Camp question:</w:t>
      </w:r>
      <w:r>
        <w:t xml:space="preserve"> </w:t>
      </w:r>
      <w:r>
        <w:t xml:space="preserve">How can camp treat drawing, oral explanation, home language, data displays, gesture, audio, and collaborative writing as disciplinary literacy while still giving every learner a rigorous path to evidence-based explanation?</w:t>
      </w:r>
    </w:p>
    <w:bookmarkEnd w:id="15"/>
    <w:bookmarkStart w:id="16" w:name="synthesis-for-tuesday"/>
    <w:p>
      <w:pPr>
        <w:pStyle w:val="Heading2"/>
      </w:pPr>
      <w:r>
        <w:t xml:space="preserve">Synthesis For Tuesday</w:t>
      </w:r>
    </w:p>
    <w:p>
      <w:pPr>
        <w:pStyle w:val="FirstParagraph"/>
      </w:pPr>
      <w:r>
        <w:t xml:space="preserve">The readings converge on a planning sequence:</w:t>
      </w:r>
    </w:p>
    <w:p>
      <w:pPr>
        <w:pStyle w:val="Compact"/>
        <w:numPr>
          <w:ilvl w:val="0"/>
          <w:numId w:val="1001"/>
        </w:numPr>
      </w:pPr>
      <w:r>
        <w:t xml:space="preserve">Decide the meaningful understanding and justice-oriented action campers should reach.</w:t>
      </w:r>
    </w:p>
    <w:p>
      <w:pPr>
        <w:pStyle w:val="Compact"/>
        <w:numPr>
          <w:ilvl w:val="0"/>
          <w:numId w:val="1001"/>
        </w:numPr>
      </w:pPr>
      <w:r>
        <w:t xml:space="preserve">Identify flexible evidence that can reveal scientific thinking across communication modes.</w:t>
      </w:r>
    </w:p>
    <w:p>
      <w:pPr>
        <w:pStyle w:val="Compact"/>
        <w:numPr>
          <w:ilvl w:val="0"/>
          <w:numId w:val="1001"/>
        </w:numPr>
      </w:pPr>
      <w:r>
        <w:t xml:space="preserve">Begin with a local phenomenon that campers can notice and question.</w:t>
      </w:r>
    </w:p>
    <w:p>
      <w:pPr>
        <w:pStyle w:val="Compact"/>
        <w:numPr>
          <w:ilvl w:val="0"/>
          <w:numId w:val="1001"/>
        </w:numPr>
      </w:pPr>
      <w:r>
        <w:t xml:space="preserve">Let their questions motivate investigations, data analysis, model revision, and public communication.</w:t>
      </w:r>
    </w:p>
    <w:p>
      <w:pPr>
        <w:pStyle w:val="Compact"/>
        <w:numPr>
          <w:ilvl w:val="0"/>
          <w:numId w:val="1001"/>
        </w:numPr>
      </w:pPr>
      <w:r>
        <w:t xml:space="preserve">Make the path visible and revisable so access barriers do not masquerade as missing understanding.</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docs.google.com/document/d/1Cnw_v00DsZclHObcmnljwXzEw-kiReCE6oStXrMoGAg/edit" TargetMode="External" /><Relationship Type="http://schemas.openxmlformats.org/officeDocument/2006/relationships/hyperlink" Id="rId10" Target="https://www.nextgenstorylines.org/what-are-storylines" TargetMode="External" /></Relationships>
</file>

<file path=word/_rels/footnotes.xml.rels><?xml version="1.0" encoding="UTF-8"?><Relationships xmlns="http://schemas.openxmlformats.org/package/2006/relationships"><Relationship Type="http://schemas.openxmlformats.org/officeDocument/2006/relationships/hyperlink" Id="rId9" Target="https://docs.google.com/document/d/1Cnw_v00DsZclHObcmnljwXzEw-kiReCE6oStXrMoGAg/edit" TargetMode="External" /><Relationship Type="http://schemas.openxmlformats.org/officeDocument/2006/relationships/hyperlink" Id="rId10" Target="https://www.nextgenstorylines.org/what-are-storylin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2026-07-14T02:09:08Z</dcterms:created>
  <dcterms:modified xsi:type="dcterms:W3CDTF">2026-07-14T02:09:08Z</dcterms:modified>
</cp:coreProperties>
</file>

<file path=docProps/custom.xml><?xml version="1.0" encoding="utf-8"?>
<Properties xmlns="http://schemas.openxmlformats.org/officeDocument/2006/custom-properties" xmlns:vt="http://schemas.openxmlformats.org/officeDocument/2006/docPropsVTypes"/>
</file>