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oster-fair-proposal-draft"/>
    <w:p>
      <w:pPr>
        <w:pStyle w:val="Heading1"/>
      </w:pPr>
      <w:r>
        <w:t xml:space="preserve">Poster Fair Proposal Draft</w:t>
      </w:r>
    </w:p>
    <w:p>
      <w:pPr>
        <w:pStyle w:val="FirstParagraph"/>
      </w:pPr>
      <w:r>
        <w:t xml:space="preserve">Student: Piter Z. Garcia Bautista</w:t>
      </w:r>
      <w:r>
        <w:t xml:space="preserve"> </w:t>
      </w:r>
      <w:r>
        <w:t xml:space="preserve">Course: EDU486 - Integrating Science and Technology</w:t>
      </w:r>
      <w:r>
        <w:t xml:space="preserve"> </w:t>
      </w:r>
      <w:r>
        <w:t xml:space="preserve">Poster fair: July 31, 2026, 1:30-3:00 p.m., LeChase 215</w:t>
      </w:r>
      <w:r>
        <w:t xml:space="preserve"> </w:t>
      </w:r>
      <w:r>
        <w:t xml:space="preserve">Working title: Access-to-Agency STEM: Technology, Bodymind Access, and Community Evidence</w:t>
      </w:r>
    </w:p>
    <w:p>
      <w:pPr>
        <w:pStyle w:val="BodyText"/>
      </w:pPr>
      <w:r>
        <w:t xml:space="preserve">Source links:</w:t>
      </w:r>
      <w:r>
        <w:t xml:space="preserve"> </w:t>
      </w:r>
      <w:hyperlink r:id="rId9">
        <w:r>
          <w:rPr>
            <w:rStyle w:val="Hyperlink"/>
          </w:rPr>
          <w:t xml:space="preserve">Module 1 source map</w:t>
        </w:r>
      </w:hyperlink>
      <w:r>
        <w:t xml:space="preserve">,</w:t>
      </w:r>
      <w:r>
        <w:t xml:space="preserve"> </w:t>
      </w:r>
      <w:hyperlink r:id="rId10">
        <w:r>
          <w:rPr>
            <w:rStyle w:val="Hyperlink"/>
          </w:rPr>
          <w:t xml:space="preserve">PhD/Puzzle Plan alignment</w:t>
        </w:r>
      </w:hyperlink>
      <w:r>
        <w:t xml:space="preserve">,</w:t>
      </w:r>
      <w:r>
        <w:t xml:space="preserve"> </w:t>
      </w:r>
      <w:hyperlink r:id="rId11">
        <w:r>
          <w:rPr>
            <w:rStyle w:val="Hyperlink"/>
          </w:rPr>
          <w:t xml:space="preserve">public DOCX export</w:t>
        </w:r>
      </w:hyperlink>
    </w:p>
    <w:bookmarkStart w:id="12" w:name="proposed-poster-question"/>
    <w:p>
      <w:pPr>
        <w:pStyle w:val="Heading2"/>
      </w:pPr>
      <w:r>
        <w:t xml:space="preserve">Proposed Poster Question</w:t>
      </w:r>
    </w:p>
    <w:p>
      <w:pPr>
        <w:pStyle w:val="FirstParagraph"/>
      </w:pPr>
      <w:r>
        <w:t xml:space="preserve">How can technology support neurodivergent, chronically ill, disabled, CLD, multilingual, and multiply marginalized youth in creating environmental evidence without replacing community knowledge, bodymind access, or student agency?</w:t>
      </w:r>
    </w:p>
    <w:bookmarkEnd w:id="12"/>
    <w:bookmarkStart w:id="13" w:name="one-sentence-claim"/>
    <w:p>
      <w:pPr>
        <w:pStyle w:val="Heading2"/>
      </w:pPr>
      <w:r>
        <w:t xml:space="preserve">One-Sentence Claim</w:t>
      </w:r>
    </w:p>
    <w:p>
      <w:pPr>
        <w:pStyle w:val="FirstParagraph"/>
      </w:pPr>
      <w:r>
        <w:t xml:space="preserve">In Planet Protectors Camp, technology becomes justice-centered when it helps youth notice, organize, question, and communicate evidence, but it must be designed with access, local knowledge, bodymind variability, and tool limitations visible from the beginning.</w:t>
      </w:r>
    </w:p>
    <w:bookmarkEnd w:id="13"/>
    <w:bookmarkStart w:id="20" w:name="poster-sections"/>
    <w:p>
      <w:pPr>
        <w:pStyle w:val="Heading2"/>
      </w:pPr>
      <w:r>
        <w:t xml:space="preserve">Poster Sections</w:t>
      </w:r>
    </w:p>
    <w:bookmarkStart w:id="14" w:name="context-and-problem"/>
    <w:p>
      <w:pPr>
        <w:pStyle w:val="Heading3"/>
      </w:pPr>
      <w:r>
        <w:t xml:space="preserve">1. Context and Problem</w:t>
      </w:r>
    </w:p>
    <w:p>
      <w:pPr>
        <w:pStyle w:val="FirstParagraph"/>
      </w:pPr>
      <w:r>
        <w:t xml:space="preserve">Planet Protectors Camp asks educators to design STEM learning that is responsive to youth, community, environmental action, and justice-centered pedagogy. My poster centers the students most likely to be misread by narrow classroom design: neurodivergent, chronically ill, disabled, CLD, multilingual, and multiply marginalized learners. A central tension is that technology can deepen participation, but it can also distract from place, add sensory/cognitive/language barriers, assume one energy level, or make data seem more authoritative than lived experience.</w:t>
      </w:r>
    </w:p>
    <w:bookmarkEnd w:id="14"/>
    <w:bookmarkStart w:id="15" w:name="frameworks"/>
    <w:p>
      <w:pPr>
        <w:pStyle w:val="Heading3"/>
      </w:pPr>
      <w:r>
        <w:t xml:space="preserve">2. Frameworks</w:t>
      </w:r>
    </w:p>
    <w:p>
      <w:pPr>
        <w:pStyle w:val="Compact"/>
        <w:numPr>
          <w:ilvl w:val="0"/>
          <w:numId w:val="1001"/>
        </w:numPr>
      </w:pPr>
      <w:r>
        <w:t xml:space="preserve">JuST Framework: build community, plan for meaningfulness and justice, elicit student culture, revise with diverse/local expertise, use learning to make the world better</w:t>
      </w:r>
    </w:p>
    <w:p>
      <w:pPr>
        <w:pStyle w:val="Compact"/>
        <w:numPr>
          <w:ilvl w:val="0"/>
          <w:numId w:val="1001"/>
        </w:numPr>
      </w:pPr>
      <w:r>
        <w:t xml:space="preserve">PICRAT: ask whether students are passive, interactive, or creative and whether technology replaces, amplifies, or transforms learning</w:t>
      </w:r>
    </w:p>
    <w:p>
      <w:pPr>
        <w:pStyle w:val="Compact"/>
        <w:numPr>
          <w:ilvl w:val="0"/>
          <w:numId w:val="1001"/>
        </w:numPr>
      </w:pPr>
      <w:r>
        <w:t xml:space="preserve">UDL/SIOP: design multiple ways to access content, use language, interact, practice, and show understanding</w:t>
      </w:r>
    </w:p>
    <w:p>
      <w:pPr>
        <w:pStyle w:val="Compact"/>
        <w:numPr>
          <w:ilvl w:val="0"/>
          <w:numId w:val="1001"/>
        </w:numPr>
      </w:pPr>
      <w:r>
        <w:t xml:space="preserve">Community cultural wealth and local knowledge: students and communities bring real assets into science learning</w:t>
      </w:r>
    </w:p>
    <w:p>
      <w:pPr>
        <w:pStyle w:val="Compact"/>
        <w:numPr>
          <w:ilvl w:val="0"/>
          <w:numId w:val="1001"/>
        </w:numPr>
      </w:pPr>
      <w:r>
        <w:t xml:space="preserve">Puzzle Plan/EQUITAS: Access, Identity, Healing, Agency, Criticality, Joy, Transformation; plus the diagnostic question of which barriers are being mistaken for lack of ability</w:t>
      </w:r>
    </w:p>
    <w:bookmarkEnd w:id="15"/>
    <w:bookmarkStart w:id="16" w:name="camp-design-move"/>
    <w:p>
      <w:pPr>
        <w:pStyle w:val="Heading3"/>
      </w:pPr>
      <w:r>
        <w:t xml:space="preserve">3. Camp Design Move</w:t>
      </w:r>
    </w:p>
    <w:p>
      <w:pPr>
        <w:pStyle w:val="FirstParagraph"/>
      </w:pPr>
      <w:r>
        <w:t xml:space="preserve">Students investigate plastic pollution or water-related environmental questions by moving through an access-centered community evidence cycle:</w:t>
      </w:r>
    </w:p>
    <w:p>
      <w:pPr>
        <w:pStyle w:val="Compact"/>
        <w:numPr>
          <w:ilvl w:val="0"/>
          <w:numId w:val="1002"/>
        </w:numPr>
      </w:pPr>
      <w:r>
        <w:t xml:space="preserve">Notice a place or problem.</w:t>
      </w:r>
    </w:p>
    <w:p>
      <w:pPr>
        <w:pStyle w:val="Compact"/>
        <w:numPr>
          <w:ilvl w:val="0"/>
          <w:numId w:val="1002"/>
        </w:numPr>
      </w:pPr>
      <w:r>
        <w:t xml:space="preserve">Ask a question.</w:t>
      </w:r>
    </w:p>
    <w:p>
      <w:pPr>
        <w:pStyle w:val="Compact"/>
        <w:numPr>
          <w:ilvl w:val="0"/>
          <w:numId w:val="1002"/>
        </w:numPr>
      </w:pPr>
      <w:r>
        <w:t xml:space="preserve">Choose roles and access pathways.</w:t>
      </w:r>
    </w:p>
    <w:p>
      <w:pPr>
        <w:pStyle w:val="Compact"/>
        <w:numPr>
          <w:ilvl w:val="0"/>
          <w:numId w:val="1002"/>
        </w:numPr>
      </w:pPr>
      <w:r>
        <w:t xml:space="preserve">Collect or document evidence.</w:t>
      </w:r>
    </w:p>
    <w:p>
      <w:pPr>
        <w:pStyle w:val="Compact"/>
        <w:numPr>
          <w:ilvl w:val="0"/>
          <w:numId w:val="1002"/>
        </w:numPr>
      </w:pPr>
      <w:r>
        <w:t xml:space="preserve">Use technology to organize or represent patterns.</w:t>
      </w:r>
    </w:p>
    <w:p>
      <w:pPr>
        <w:pStyle w:val="Compact"/>
        <w:numPr>
          <w:ilvl w:val="0"/>
          <w:numId w:val="1002"/>
        </w:numPr>
      </w:pPr>
      <w:r>
        <w:t xml:space="preserve">Critique what the tool shows, misses, assumes, or makes harder.</w:t>
      </w:r>
    </w:p>
    <w:p>
      <w:pPr>
        <w:pStyle w:val="Compact"/>
        <w:numPr>
          <w:ilvl w:val="0"/>
          <w:numId w:val="1002"/>
        </w:numPr>
      </w:pPr>
      <w:r>
        <w:t xml:space="preserve">Communicate a message for action.</w:t>
      </w:r>
    </w:p>
    <w:bookmarkEnd w:id="16"/>
    <w:bookmarkStart w:id="17" w:name="evidence-to-include"/>
    <w:p>
      <w:pPr>
        <w:pStyle w:val="Heading3"/>
      </w:pPr>
      <w:r>
        <w:t xml:space="preserve">4. Evidence To Include</w:t>
      </w:r>
    </w:p>
    <w:p>
      <w:pPr>
        <w:pStyle w:val="FirstParagraph"/>
      </w:pPr>
      <w:r>
        <w:t xml:space="preserve">Use only de-identified and appropriate artifacts:</w:t>
      </w:r>
    </w:p>
    <w:p>
      <w:pPr>
        <w:pStyle w:val="Compact"/>
        <w:numPr>
          <w:ilvl w:val="0"/>
          <w:numId w:val="1003"/>
        </w:numPr>
      </w:pPr>
      <w:r>
        <w:t xml:space="preserve">student question cards or anonymized excerpts</w:t>
      </w:r>
    </w:p>
    <w:p>
      <w:pPr>
        <w:pStyle w:val="Compact"/>
        <w:numPr>
          <w:ilvl w:val="0"/>
          <w:numId w:val="1003"/>
        </w:numPr>
      </w:pPr>
      <w:r>
        <w:t xml:space="preserve">non-identifying photos of materials, maps, charts, or posters</w:t>
      </w:r>
    </w:p>
    <w:p>
      <w:pPr>
        <w:pStyle w:val="Compact"/>
        <w:numPr>
          <w:ilvl w:val="0"/>
          <w:numId w:val="1003"/>
        </w:numPr>
      </w:pPr>
      <w:r>
        <w:t xml:space="preserve">facilitator observation notes</w:t>
      </w:r>
    </w:p>
    <w:p>
      <w:pPr>
        <w:pStyle w:val="Compact"/>
        <w:numPr>
          <w:ilvl w:val="0"/>
          <w:numId w:val="1003"/>
        </w:numPr>
      </w:pPr>
      <w:r>
        <w:t xml:space="preserve">before/after revision examples</w:t>
      </w:r>
    </w:p>
    <w:p>
      <w:pPr>
        <w:pStyle w:val="Compact"/>
        <w:numPr>
          <w:ilvl w:val="0"/>
          <w:numId w:val="1003"/>
        </w:numPr>
      </w:pPr>
      <w:r>
        <w:t xml:space="preserve">access observation notes: where students needed chunking, sensory adjustment, language support, low-energy options, or role changes</w:t>
      </w:r>
    </w:p>
    <w:p>
      <w:pPr>
        <w:pStyle w:val="Compact"/>
        <w:numPr>
          <w:ilvl w:val="0"/>
          <w:numId w:val="1003"/>
        </w:numPr>
      </w:pPr>
      <w:r>
        <w:t xml:space="preserve">student reflections about what the technology helped them see</w:t>
      </w:r>
    </w:p>
    <w:p>
      <w:pPr>
        <w:pStyle w:val="Compact"/>
        <w:numPr>
          <w:ilvl w:val="0"/>
          <w:numId w:val="1003"/>
        </w:numPr>
      </w:pPr>
      <w:r>
        <w:t xml:space="preserve">student reflections about what the technology could not show</w:t>
      </w:r>
    </w:p>
    <w:bookmarkEnd w:id="17"/>
    <w:bookmarkStart w:id="18" w:name="emerging-insight"/>
    <w:p>
      <w:pPr>
        <w:pStyle w:val="Heading3"/>
      </w:pPr>
      <w:r>
        <w:t xml:space="preserve">5. Emerging Insight</w:t>
      </w:r>
    </w:p>
    <w:p>
      <w:pPr>
        <w:pStyle w:val="FirstParagraph"/>
      </w:pPr>
      <w:r>
        <w:t xml:space="preserve">The strongest technology integration may be the kind students can question and adapt. When youth can explain both the affordance and the limit of a tool, and when the lesson gives multiple routes for participation, they are not just using technology. They are practicing critical STEM literacy and access literacy.</w:t>
      </w:r>
    </w:p>
    <w:bookmarkEnd w:id="18"/>
    <w:bookmarkStart w:id="19" w:name="implications"/>
    <w:p>
      <w:pPr>
        <w:pStyle w:val="Heading3"/>
      </w:pPr>
      <w:r>
        <w:t xml:space="preserve">6. Implications</w:t>
      </w:r>
    </w:p>
    <w:p>
      <w:pPr>
        <w:pStyle w:val="FirstParagraph"/>
      </w:pPr>
      <w:r>
        <w:t xml:space="preserve">For teaching:</w:t>
      </w:r>
    </w:p>
    <w:p>
      <w:pPr>
        <w:pStyle w:val="Compact"/>
        <w:numPr>
          <w:ilvl w:val="0"/>
          <w:numId w:val="1004"/>
        </w:numPr>
      </w:pPr>
      <w:r>
        <w:t xml:space="preserve">Begin with belonging, identity safety, and meaningful questions before tools.</w:t>
      </w:r>
    </w:p>
    <w:p>
      <w:pPr>
        <w:pStyle w:val="Compact"/>
        <w:numPr>
          <w:ilvl w:val="0"/>
          <w:numId w:val="1004"/>
        </w:numPr>
      </w:pPr>
      <w:r>
        <w:t xml:space="preserve">Build in multiple roles, multiple energy levels, and multiple ways to show learning.</w:t>
      </w:r>
    </w:p>
    <w:p>
      <w:pPr>
        <w:pStyle w:val="Compact"/>
        <w:numPr>
          <w:ilvl w:val="0"/>
          <w:numId w:val="1004"/>
        </w:numPr>
      </w:pPr>
      <w:r>
        <w:t xml:space="preserve">Treat local knowledge as evidence.</w:t>
      </w:r>
    </w:p>
    <w:p>
      <w:pPr>
        <w:pStyle w:val="Compact"/>
        <w:numPr>
          <w:ilvl w:val="0"/>
          <w:numId w:val="1004"/>
        </w:numPr>
      </w:pPr>
      <w:r>
        <w:t xml:space="preserve">Make tool limits and access demands explicit.</w:t>
      </w:r>
    </w:p>
    <w:p>
      <w:pPr>
        <w:pStyle w:val="Compact"/>
        <w:numPr>
          <w:ilvl w:val="0"/>
          <w:numId w:val="1004"/>
        </w:numPr>
      </w:pPr>
      <w:r>
        <w:t xml:space="preserve">Use technology for audience, action, and revision, not just presentation polish.</w:t>
      </w:r>
    </w:p>
    <w:p>
      <w:pPr>
        <w:pStyle w:val="FirstParagraph"/>
      </w:pPr>
      <w:r>
        <w:t xml:space="preserve">For my PhD/Puzzle Plan:</w:t>
      </w:r>
    </w:p>
    <w:p>
      <w:pPr>
        <w:pStyle w:val="Compact"/>
        <w:numPr>
          <w:ilvl w:val="0"/>
          <w:numId w:val="1005"/>
        </w:numPr>
      </w:pPr>
      <w:r>
        <w:t xml:space="preserve">This course gives me a community-based version of a larger research question about equitable evidence systems.</w:t>
      </w:r>
    </w:p>
    <w:p>
      <w:pPr>
        <w:pStyle w:val="Compact"/>
        <w:numPr>
          <w:ilvl w:val="0"/>
          <w:numId w:val="1005"/>
        </w:numPr>
      </w:pPr>
      <w:r>
        <w:t xml:space="preserve">The same questions that matter in AI and diagnostics also matter in classrooms: Whose data counts? Who is missed? Which access barrier is being mislabeled as low motivation or low ability? Who gets to interpret the pattern? Who benefits from the decision?</w:t>
      </w:r>
    </w:p>
    <w:bookmarkEnd w:id="19"/>
    <w:bookmarkEnd w:id="20"/>
    <w:bookmarkStart w:id="21" w:name="draft-abstract"/>
    <w:p>
      <w:pPr>
        <w:pStyle w:val="Heading2"/>
      </w:pPr>
      <w:r>
        <w:t xml:space="preserve">Draft Abstract</w:t>
      </w:r>
    </w:p>
    <w:p>
      <w:pPr>
        <w:pStyle w:val="FirstParagraph"/>
      </w:pPr>
      <w:r>
        <w:t xml:space="preserve">This poster examines how technology can support justice-centered STEM learning in a community-based camp setting for neurodivergent, chronically ill, disabled, CLD, multilingual, and multiply marginalized learners. Drawing on the JuST Framework, PICRAT, UDL/SIOP, community cultural wealth, and my broader Puzzle Plan/EQUITAS work on equitable evidence systems, I study how youth can use accessible tools to notice, organize, question, and communicate environmental evidence. The poster focuses on a Planet Protectors camp design in which students investigate plastic pollution or water-related environmental questions through observation, mapping, data organization, multimodal explanation, and public communication. Rather than treating technology as a neutral add-on, I ask what the tools make visible, what they hide, whose bodymind they assume, and how design choices affect student agency and access. The key insight is that technology becomes more justice-centered when youth can use it creatively and critically: not only to produce a polished product, but to make community knowledge and student thinking harder to ignore.</w:t>
      </w:r>
    </w:p>
    <w:bookmarkEnd w:id="21"/>
    <w:bookmarkStart w:id="22" w:name="visual-layout"/>
    <w:p>
      <w:pPr>
        <w:pStyle w:val="Heading2"/>
      </w:pPr>
      <w:r>
        <w:t xml:space="preserve">Visual Layout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Panel</w:t>
            </w:r>
          </w:p>
        </w:tc>
        <w:tc>
          <w:tcPr/>
          <w:p>
            <w:pPr>
              <w:pStyle w:val="Compact"/>
            </w:pPr>
            <w:r>
              <w:t xml:space="preserve">Content</w:t>
            </w:r>
          </w:p>
        </w:tc>
      </w:tr>
      <w:tr>
        <w:tc>
          <w:tcPr/>
          <w:p>
            <w:pPr>
              <w:pStyle w:val="Compact"/>
            </w:pPr>
            <w:r>
              <w:t xml:space="preserve">Left</w:t>
            </w:r>
          </w:p>
        </w:tc>
        <w:tc>
          <w:tcPr/>
          <w:p>
            <w:pPr>
              <w:pStyle w:val="Compact"/>
            </w:pPr>
            <w:r>
              <w:t xml:space="preserve">Course context, poster question, learner focus, frameworks</w:t>
            </w:r>
          </w:p>
        </w:tc>
      </w:tr>
      <w:tr>
        <w:tc>
          <w:tcPr/>
          <w:p>
            <w:pPr>
              <w:pStyle w:val="Compact"/>
            </w:pPr>
            <w:r>
              <w:t xml:space="preserve">Center</w:t>
            </w:r>
          </w:p>
        </w:tc>
        <w:tc>
          <w:tcPr/>
          <w:p>
            <w:pPr>
              <w:pStyle w:val="Compact"/>
            </w:pPr>
            <w:r>
              <w:t xml:space="preserve">Access-centered community evidence cycle with camp examples</w:t>
            </w:r>
          </w:p>
        </w:tc>
      </w:tr>
      <w:tr>
        <w:tc>
          <w:tcPr/>
          <w:p>
            <w:pPr>
              <w:pStyle w:val="Compact"/>
            </w:pPr>
            <w:r>
              <w:t xml:space="preserve">Right</w:t>
            </w:r>
          </w:p>
        </w:tc>
        <w:tc>
          <w:tcPr/>
          <w:p>
            <w:pPr>
              <w:pStyle w:val="Compact"/>
            </w:pPr>
            <w:r>
              <w:t xml:space="preserve">Evidence, access observations, insights, implications, PhD/Puzzle Plan link</w:t>
            </w:r>
          </w:p>
        </w:tc>
      </w:tr>
    </w:tbl>
    <w:bookmarkEnd w:id="22"/>
    <w:bookmarkStart w:id="23" w:name="ai-use-disclosure"/>
    <w:p>
      <w:pPr>
        <w:pStyle w:val="Heading2"/>
      </w:pPr>
      <w:r>
        <w:t xml:space="preserve">AI Use Disclosure</w:t>
      </w:r>
    </w:p>
    <w:p>
      <w:pPr>
        <w:pStyle w:val="FirstParagraph"/>
      </w:pPr>
      <w:r>
        <w:t xml:space="preserve">OpenAI Codex (GPT-5) was used on July 1, 2026 to organize the poster structure, draft the abstract, and connect course frameworks to the Puzzle Plan. Final poster evidence must be revised after actual camp implementation.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docs/phd-puzzle-plan-alignment.md" TargetMode="External" /><Relationship Type="http://schemas.openxmlformats.org/officeDocument/2006/relationships/hyperlink" Id="rId9" Target="../../docs/source-map.md#module-1-local-sources" TargetMode="External" /><Relationship Type="http://schemas.openxmlformats.org/officeDocument/2006/relationships/hyperlink" Id="rId11" Target="../../public-submissions/poster-proposal-draft.docx" TargetMode="External" /></Relationships>
</file>

<file path=word/_rels/footnotes.xml.rels><?xml version="1.0" encoding="UTF-8"?><Relationships xmlns="http://schemas.openxmlformats.org/package/2006/relationships"><Relationship Type="http://schemas.openxmlformats.org/officeDocument/2006/relationships/hyperlink" Id="rId10" Target="../../docs/phd-puzzle-plan-alignment.md" TargetMode="External" /><Relationship Type="http://schemas.openxmlformats.org/officeDocument/2006/relationships/hyperlink" Id="rId9" Target="../../docs/source-map.md#module-1-local-sources" TargetMode="External" /><Relationship Type="http://schemas.openxmlformats.org/officeDocument/2006/relationships/hyperlink" Id="rId11" Target="../../public-submissions/poster-proposal-draft.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2026-07-01T07:45:32Z</dcterms:created>
  <dcterms:modified xsi:type="dcterms:W3CDTF">2026-07-01T07:45:32Z</dcterms:modified>
</cp:coreProperties>
</file>

<file path=docProps/custom.xml><?xml version="1.0" encoding="utf-8"?>
<Properties xmlns="http://schemas.openxmlformats.org/officeDocument/2006/custom-properties" xmlns:vt="http://schemas.openxmlformats.org/officeDocument/2006/docPropsVTypes"/>
</file>