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rFonts w:ascii="Times New Roman" w:cs="Times New Roman" w:eastAsia="Times New Roman" w:hAnsi="Times New Roman"/>
          <w:b w:val="1"/>
          <w:bCs w:val="1"/>
          <w:color w:val="000000"/>
          <w:sz w:val="22"/>
          <w:szCs w:val="22"/>
          <w:u w:val="single"/>
        </w:rPr>
      </w:pPr>
      <w:bookmarkStart w:colFirst="0" w:colLast="0" w:name="_fdq3fh6u6hwn" w:id="0"/>
      <w:bookmarkEnd w:id="0"/>
      <w:r w:rsidDel="00000000" w:rsidR="00000000" w:rsidRPr="00000000">
        <w:rPr>
          <w:rFonts w:ascii="Times New Roman" w:cs="Times New Roman" w:eastAsia="Times New Roman" w:hAnsi="Times New Roman"/>
          <w:b w:val="1"/>
          <w:bCs w:val="1"/>
          <w:color w:val="000000"/>
          <w:sz w:val="22"/>
          <w:szCs w:val="22"/>
          <w:u w:val="single"/>
          <w:rtl w:val="0"/>
        </w:rPr>
        <w:t xml:space="preserve">Assignment: Joy Oriented Literacy Pursuit</w:t>
      </w:r>
    </w:p>
    <w:p w:rsidR="00000000" w:rsidDel="00000000" w:rsidP="00000000" w:rsidRDefault="00000000" w:rsidRPr="00000000" w14:paraId="00000002">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10 possible  points (Last Revised Jan. 2026)</w:t>
      </w:r>
      <w:r w:rsidDel="00000000" w:rsidR="00000000" w:rsidRPr="00000000">
        <w:rPr>
          <w:rtl w:val="0"/>
        </w:rPr>
      </w:r>
    </w:p>
    <w:p w:rsidR="00000000" w:rsidDel="00000000" w:rsidP="00000000" w:rsidRDefault="00000000" w:rsidRPr="00000000" w14:paraId="00000003">
      <w:pPr>
        <w:pStyle w:val="Heading3"/>
        <w:keepNext w:val="0"/>
        <w:keepLines w:val="0"/>
        <w:spacing w:before="280" w:line="240" w:lineRule="auto"/>
        <w:rPr>
          <w:rFonts w:ascii="Times New Roman" w:cs="Times New Roman" w:eastAsia="Times New Roman" w:hAnsi="Times New Roman"/>
          <w:b w:val="1"/>
          <w:bCs w:val="1"/>
          <w:color w:val="000000"/>
          <w:sz w:val="20"/>
          <w:szCs w:val="20"/>
        </w:rPr>
      </w:pPr>
      <w:bookmarkStart w:colFirst="0" w:colLast="0" w:name="_udvc2c9engff" w:id="1"/>
      <w:bookmarkEnd w:id="1"/>
      <w:r w:rsidDel="00000000" w:rsidR="00000000" w:rsidRPr="00000000">
        <w:rPr>
          <w:rFonts w:ascii="Times New Roman" w:cs="Times New Roman" w:eastAsia="Times New Roman" w:hAnsi="Times New Roman"/>
          <w:b w:val="1"/>
          <w:bCs w:val="1"/>
          <w:color w:val="000000"/>
          <w:sz w:val="20"/>
          <w:szCs w:val="20"/>
          <w:rtl w:val="0"/>
        </w:rPr>
        <w:t xml:space="preserve">Objective:</w:t>
      </w:r>
    </w:p>
    <w:p w:rsidR="00000000" w:rsidDel="00000000" w:rsidP="00000000" w:rsidRDefault="00000000" w:rsidRPr="00000000" w14:paraId="00000004">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engage in joy-oriented literacy pursuit. They will create, share, and reflect on a literacy-based project that promotes liberation, self-determination, self-reliance, and self-empowerment, while experiencing the joy, love, and aesthetic fulfillment inherent in literacy practices.</w:t>
      </w:r>
      <w:r w:rsidDel="00000000" w:rsidR="00000000" w:rsidRPr="00000000">
        <w:rPr>
          <w:rtl w:val="0"/>
        </w:rPr>
      </w:r>
    </w:p>
    <w:p w:rsidR="00000000" w:rsidDel="00000000" w:rsidP="00000000" w:rsidRDefault="00000000" w:rsidRPr="00000000" w14:paraId="00000005">
      <w:pPr>
        <w:pStyle w:val="Heading3"/>
        <w:keepNext w:val="0"/>
        <w:keepLines w:val="0"/>
        <w:spacing w:before="280" w:line="240" w:lineRule="auto"/>
        <w:rPr>
          <w:rFonts w:ascii="Times New Roman" w:cs="Times New Roman" w:eastAsia="Times New Roman" w:hAnsi="Times New Roman"/>
          <w:sz w:val="20"/>
          <w:szCs w:val="20"/>
        </w:rPr>
      </w:pPr>
      <w:bookmarkStart w:colFirst="0" w:colLast="0" w:name="_x44gm53ol8ik" w:id="2"/>
      <w:bookmarkEnd w:id="2"/>
      <w:r w:rsidDel="00000000" w:rsidR="00000000" w:rsidRPr="00000000">
        <w:rPr>
          <w:rFonts w:ascii="Times New Roman" w:cs="Times New Roman" w:eastAsia="Times New Roman" w:hAnsi="Times New Roman"/>
          <w:b w:val="1"/>
          <w:bCs w:val="1"/>
          <w:color w:val="000000"/>
          <w:sz w:val="20"/>
          <w:szCs w:val="20"/>
          <w:rtl w:val="0"/>
        </w:rPr>
        <w:t xml:space="preserve">Instructions:</w:t>
      </w:r>
      <w:r w:rsidDel="00000000" w:rsidR="00000000" w:rsidRPr="00000000">
        <w:rPr>
          <w:rtl w:val="0"/>
        </w:rPr>
      </w:r>
    </w:p>
    <w:p w:rsidR="00000000" w:rsidDel="00000000" w:rsidP="00000000" w:rsidRDefault="00000000" w:rsidRPr="00000000" w14:paraId="00000006">
      <w:pPr>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Select, Create, and Share a Literacy Pursuit</w:t>
      </w:r>
    </w:p>
    <w:p w:rsidR="00000000" w:rsidDel="00000000" w:rsidP="00000000" w:rsidRDefault="00000000" w:rsidRPr="00000000" w14:paraId="00000007">
      <w:pPr>
        <w:numPr>
          <w:ilvl w:val="0"/>
          <w:numId w:val="2"/>
        </w:numPr>
        <w:spacing w:after="0" w:afterAutospacing="0" w:before="24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Select:</w:t>
      </w:r>
      <w:r w:rsidDel="00000000" w:rsidR="00000000" w:rsidRPr="00000000">
        <w:rPr>
          <w:rFonts w:ascii="Times New Roman" w:cs="Times New Roman" w:eastAsia="Times New Roman" w:hAnsi="Times New Roman"/>
          <w:sz w:val="20"/>
          <w:szCs w:val="20"/>
          <w:rtl w:val="0"/>
        </w:rPr>
        <w:t xml:space="preserve"> Choose a literacy pursuit inspired by Muhammad’s framework and aligned with your personal interests. </w:t>
      </w:r>
    </w:p>
    <w:p w:rsidR="00000000" w:rsidDel="00000000" w:rsidP="00000000" w:rsidRDefault="00000000" w:rsidRPr="00000000" w14:paraId="00000008">
      <w:pPr>
        <w:numPr>
          <w:ilvl w:val="1"/>
          <w:numId w:val="2"/>
        </w:numPr>
        <w:spacing w:after="0" w:afterAutospacing="0" w:before="0" w:beforeAutospacing="0" w:line="240" w:lineRule="auto"/>
        <w:ind w:left="1440" w:hanging="360"/>
        <w:rPr>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Examples of Joy-Oriented Literacy Pursuits:</w:t>
      </w:r>
    </w:p>
    <w:p w:rsidR="00000000" w:rsidDel="00000000" w:rsidP="00000000" w:rsidRDefault="00000000" w:rsidRPr="00000000" w14:paraId="00000009">
      <w:pPr>
        <w:numPr>
          <w:ilvl w:val="0"/>
          <w:numId w:val="3"/>
        </w:numPr>
        <w:spacing w:after="0" w:afterAutospacing="0" w:before="0" w:beforeAutospacing="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Workshop</w:t>
      </w:r>
    </w:p>
    <w:p w:rsidR="00000000" w:rsidDel="00000000" w:rsidP="00000000" w:rsidRDefault="00000000" w:rsidRPr="00000000" w14:paraId="0000000A">
      <w:pPr>
        <w:numPr>
          <w:ilvl w:val="0"/>
          <w:numId w:val="3"/>
        </w:numPr>
        <w:spacing w:after="0" w:afterAutospacing="0" w:before="0" w:beforeAutospacing="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w:t>
      </w:r>
    </w:p>
    <w:p w:rsidR="00000000" w:rsidDel="00000000" w:rsidP="00000000" w:rsidRDefault="00000000" w:rsidRPr="00000000" w14:paraId="0000000B">
      <w:pPr>
        <w:numPr>
          <w:ilvl w:val="0"/>
          <w:numId w:val="3"/>
        </w:numPr>
        <w:spacing w:after="0" w:afterAutospacing="0" w:before="0" w:beforeAutospacing="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Cookbooks</w:t>
      </w:r>
    </w:p>
    <w:p w:rsidR="00000000" w:rsidDel="00000000" w:rsidP="00000000" w:rsidRDefault="00000000" w:rsidRPr="00000000" w14:paraId="0000000C">
      <w:pPr>
        <w:numPr>
          <w:ilvl w:val="0"/>
          <w:numId w:val="3"/>
        </w:numPr>
        <w:spacing w:after="0" w:afterAutospacing="0" w:before="0" w:beforeAutospacing="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Community Murals</w:t>
      </w:r>
    </w:p>
    <w:p w:rsidR="00000000" w:rsidDel="00000000" w:rsidP="00000000" w:rsidRDefault="00000000" w:rsidRPr="00000000" w14:paraId="0000000D">
      <w:pPr>
        <w:numPr>
          <w:ilvl w:val="0"/>
          <w:numId w:val="3"/>
        </w:numPr>
        <w:spacing w:after="0" w:afterAutospacing="0" w:before="0" w:beforeAutospacing="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Minecraft creations</w:t>
      </w:r>
    </w:p>
    <w:p w:rsidR="00000000" w:rsidDel="00000000" w:rsidP="00000000" w:rsidRDefault="00000000" w:rsidRPr="00000000" w14:paraId="0000000E">
      <w:pPr>
        <w:numPr>
          <w:ilvl w:val="0"/>
          <w:numId w:val="3"/>
        </w:numPr>
        <w:spacing w:after="0" w:afterAutospacing="0" w:before="0" w:beforeAutospacing="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Music playlists</w:t>
      </w:r>
    </w:p>
    <w:p w:rsidR="00000000" w:rsidDel="00000000" w:rsidP="00000000" w:rsidRDefault="00000000" w:rsidRPr="00000000" w14:paraId="0000000F">
      <w:pPr>
        <w:numPr>
          <w:ilvl w:val="0"/>
          <w:numId w:val="3"/>
        </w:numPr>
        <w:spacing w:after="0" w:afterAutospacing="0" w:before="0" w:beforeAutospacing="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Translations ( can be a multi medium endeavor such as music and text)</w:t>
      </w:r>
    </w:p>
    <w:p w:rsidR="00000000" w:rsidDel="00000000" w:rsidP="00000000" w:rsidRDefault="00000000" w:rsidRPr="00000000" w14:paraId="00000010">
      <w:pPr>
        <w:numPr>
          <w:ilvl w:val="0"/>
          <w:numId w:val="3"/>
        </w:numPr>
        <w:spacing w:after="0" w:afterAutospacing="0" w:before="0" w:beforeAutospacing="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Mapping projects</w:t>
      </w:r>
    </w:p>
    <w:p w:rsidR="00000000" w:rsidDel="00000000" w:rsidP="00000000" w:rsidRDefault="00000000" w:rsidRPr="00000000" w14:paraId="00000011">
      <w:pPr>
        <w:numPr>
          <w:ilvl w:val="0"/>
          <w:numId w:val="3"/>
        </w:numPr>
        <w:spacing w:after="0" w:afterAutospacing="0" w:before="0" w:beforeAutospacing="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Poetry</w:t>
      </w:r>
    </w:p>
    <w:p w:rsidR="00000000" w:rsidDel="00000000" w:rsidP="00000000" w:rsidRDefault="00000000" w:rsidRPr="00000000" w14:paraId="00000012">
      <w:pPr>
        <w:numPr>
          <w:ilvl w:val="0"/>
          <w:numId w:val="2"/>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Create:</w:t>
      </w:r>
      <w:r w:rsidDel="00000000" w:rsidR="00000000" w:rsidRPr="00000000">
        <w:rPr>
          <w:rFonts w:ascii="Times New Roman" w:cs="Times New Roman" w:eastAsia="Times New Roman" w:hAnsi="Times New Roman"/>
          <w:sz w:val="20"/>
          <w:szCs w:val="20"/>
          <w:rtl w:val="0"/>
        </w:rPr>
        <w:t xml:space="preserve"> Your literacy pursuit must represent an act of reading, writing, speaking, or art  that embodies greater goals such as liberation, self-determination, and empowerment.</w:t>
      </w:r>
    </w:p>
    <w:p w:rsidR="00000000" w:rsidDel="00000000" w:rsidP="00000000" w:rsidRDefault="00000000" w:rsidRPr="00000000" w14:paraId="00000013">
      <w:pPr>
        <w:numPr>
          <w:ilvl w:val="1"/>
          <w:numId w:val="2"/>
        </w:numPr>
        <w:spacing w:after="0" w:afterAutospacing="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can collaborate with others, remix existing content, and/or  make your literacy pursuit participatory ( have others engage in its creation). HITRECORD </w:t>
      </w:r>
    </w:p>
    <w:p w:rsidR="00000000" w:rsidDel="00000000" w:rsidP="00000000" w:rsidRDefault="00000000" w:rsidRPr="00000000" w14:paraId="00000014">
      <w:pPr>
        <w:numPr>
          <w:ilvl w:val="0"/>
          <w:numId w:val="2"/>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Share</w:t>
      </w:r>
      <w:r w:rsidDel="00000000" w:rsidR="00000000" w:rsidRPr="00000000">
        <w:rPr>
          <w:rFonts w:ascii="Times New Roman" w:cs="Times New Roman" w:eastAsia="Times New Roman" w:hAnsi="Times New Roman"/>
          <w:sz w:val="20"/>
          <w:szCs w:val="20"/>
          <w:rtl w:val="0"/>
        </w:rPr>
        <w:t xml:space="preserve">: The final product should be shared with an</w:t>
      </w:r>
      <w:r w:rsidDel="00000000" w:rsidR="00000000" w:rsidRPr="00000000">
        <w:rPr>
          <w:rFonts w:ascii="Times New Roman" w:cs="Times New Roman" w:eastAsia="Times New Roman" w:hAnsi="Times New Roman"/>
          <w:sz w:val="20"/>
          <w:szCs w:val="20"/>
          <w:highlight w:val="yellow"/>
          <w:rtl w:val="0"/>
        </w:rPr>
        <w:t xml:space="preserve"> </w:t>
      </w:r>
      <w:r w:rsidDel="00000000" w:rsidR="00000000" w:rsidRPr="00000000">
        <w:rPr>
          <w:rFonts w:ascii="Times New Roman" w:cs="Times New Roman" w:eastAsia="Times New Roman" w:hAnsi="Times New Roman"/>
          <w:b w:val="1"/>
          <w:bCs w:val="1"/>
          <w:sz w:val="20"/>
          <w:szCs w:val="20"/>
          <w:highlight w:val="yellow"/>
          <w:rtl w:val="0"/>
        </w:rPr>
        <w:t xml:space="preserve">authentic audience</w:t>
      </w:r>
      <w:r w:rsidDel="00000000" w:rsidR="00000000" w:rsidRPr="00000000">
        <w:rPr>
          <w:rFonts w:ascii="Times New Roman" w:cs="Times New Roman" w:eastAsia="Times New Roman" w:hAnsi="Times New Roman"/>
          <w:sz w:val="20"/>
          <w:szCs w:val="20"/>
          <w:rtl w:val="0"/>
        </w:rPr>
        <w:t xml:space="preserve"> ( this may be in a classroom setting,  on a YouTube channel, a social media platform, or submitted to a publication/blog) </w:t>
      </w:r>
      <w:r w:rsidDel="00000000" w:rsidR="00000000" w:rsidRPr="00000000">
        <w:rPr>
          <w:rFonts w:ascii="Times New Roman" w:cs="Times New Roman" w:eastAsia="Times New Roman" w:hAnsi="Times New Roman"/>
          <w:sz w:val="20"/>
          <w:szCs w:val="20"/>
          <w:highlight w:val="yellow"/>
          <w:rtl w:val="0"/>
        </w:rPr>
        <w:t xml:space="preserve">and you have interacted with your audience's feedback. </w:t>
      </w:r>
    </w:p>
    <w:p w:rsidR="00000000" w:rsidDel="00000000" w:rsidP="00000000" w:rsidRDefault="00000000" w:rsidRPr="00000000" w14:paraId="0000001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Reflect on the Experience</w:t>
        <w:br w:type="textWrapping"/>
      </w:r>
      <w:r w:rsidDel="00000000" w:rsidR="00000000" w:rsidRPr="00000000">
        <w:rPr>
          <w:rFonts w:ascii="Times New Roman" w:cs="Times New Roman" w:eastAsia="Times New Roman" w:hAnsi="Times New Roman"/>
          <w:sz w:val="20"/>
          <w:szCs w:val="20"/>
          <w:rtl w:val="0"/>
        </w:rPr>
        <w:t xml:space="preserve">Write a 2 -4 page reflection ( double spaced) or create an equivalent multimodal reflection (e.g., a presentation, video, or audio recording 5-7 min MAX) that addresses the following questions:</w:t>
      </w:r>
    </w:p>
    <w:p w:rsidR="00000000" w:rsidDel="00000000" w:rsidP="00000000" w:rsidRDefault="00000000" w:rsidRPr="00000000" w14:paraId="00000016">
      <w:pPr>
        <w:numPr>
          <w:ilvl w:val="0"/>
          <w:numId w:val="1"/>
        </w:numPr>
        <w:spacing w:after="0" w:afterAutospacing="0" w:before="24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Product:</w:t>
      </w:r>
      <w:r w:rsidDel="00000000" w:rsidR="00000000" w:rsidRPr="00000000">
        <w:rPr>
          <w:rFonts w:ascii="Times New Roman" w:cs="Times New Roman" w:eastAsia="Times New Roman" w:hAnsi="Times New Roman"/>
          <w:sz w:val="20"/>
          <w:szCs w:val="20"/>
          <w:rtl w:val="0"/>
        </w:rPr>
        <w:t xml:space="preserve"> What did you create, and who did you share it with? </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highlight w:val="yellow"/>
          <w:rtl w:val="0"/>
        </w:rPr>
        <w:t xml:space="preserve">Provide links, attachments, pictures/ screenshots as appropriate.)</w:t>
      </w:r>
    </w:p>
    <w:p w:rsidR="00000000" w:rsidDel="00000000" w:rsidP="00000000" w:rsidRDefault="00000000" w:rsidRPr="00000000" w14:paraId="00000017">
      <w:pPr>
        <w:numPr>
          <w:ilvl w:val="0"/>
          <w:numId w:val="1"/>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Process:</w:t>
      </w:r>
      <w:r w:rsidDel="00000000" w:rsidR="00000000" w:rsidRPr="00000000">
        <w:rPr>
          <w:rFonts w:ascii="Times New Roman" w:cs="Times New Roman" w:eastAsia="Times New Roman" w:hAnsi="Times New Roman"/>
          <w:sz w:val="20"/>
          <w:szCs w:val="20"/>
          <w:rtl w:val="0"/>
        </w:rPr>
        <w:t xml:space="preserve"> What was your creative and learning process? (Include resources used, steps taken, etc.)</w:t>
      </w:r>
    </w:p>
    <w:p w:rsidR="00000000" w:rsidDel="00000000" w:rsidP="00000000" w:rsidRDefault="00000000" w:rsidRPr="00000000" w14:paraId="00000018">
      <w:pPr>
        <w:numPr>
          <w:ilvl w:val="0"/>
          <w:numId w:val="1"/>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Specify:</w:t>
      </w:r>
      <w:r w:rsidDel="00000000" w:rsidR="00000000" w:rsidRPr="00000000">
        <w:rPr>
          <w:rFonts w:ascii="Times New Roman" w:cs="Times New Roman" w:eastAsia="Times New Roman" w:hAnsi="Times New Roman"/>
          <w:sz w:val="20"/>
          <w:szCs w:val="20"/>
          <w:rtl w:val="0"/>
        </w:rPr>
        <w:t xml:space="preserve"> How did your literacy pursuit cultivate joy, love, and/or aesthetic fulfillment for you?</w:t>
      </w:r>
    </w:p>
    <w:p w:rsidR="00000000" w:rsidDel="00000000" w:rsidP="00000000" w:rsidRDefault="00000000" w:rsidRPr="00000000" w14:paraId="00000019">
      <w:pPr>
        <w:numPr>
          <w:ilvl w:val="0"/>
          <w:numId w:val="1"/>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Connect to Text(s):</w:t>
      </w:r>
      <w:r w:rsidDel="00000000" w:rsidR="00000000" w:rsidRPr="00000000">
        <w:rPr>
          <w:rFonts w:ascii="Times New Roman" w:cs="Times New Roman" w:eastAsia="Times New Roman" w:hAnsi="Times New Roman"/>
          <w:sz w:val="20"/>
          <w:szCs w:val="20"/>
          <w:rtl w:val="0"/>
        </w:rPr>
        <w:t xml:space="preserve"> How did your creation exemplify Muhammad’s ideas of a literacy pursuit? Did you connect the experience to any other course readings?</w:t>
      </w:r>
    </w:p>
    <w:p w:rsidR="00000000" w:rsidDel="00000000" w:rsidP="00000000" w:rsidRDefault="00000000" w:rsidRPr="00000000" w14:paraId="0000001A">
      <w:pPr>
        <w:numPr>
          <w:ilvl w:val="0"/>
          <w:numId w:val="1"/>
        </w:numPr>
        <w:spacing w:after="240" w:before="0" w:before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Connect to Practice:</w:t>
      </w:r>
      <w:r w:rsidDel="00000000" w:rsidR="00000000" w:rsidRPr="00000000">
        <w:rPr>
          <w:rFonts w:ascii="Times New Roman" w:cs="Times New Roman" w:eastAsia="Times New Roman" w:hAnsi="Times New Roman"/>
          <w:sz w:val="20"/>
          <w:szCs w:val="20"/>
          <w:rtl w:val="0"/>
        </w:rPr>
        <w:t xml:space="preserve"> How might this experience inform your future teaching practice? How could you incorporate this or similar literacy pursuits into your classroom?</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0000ee"/>
            <w:sz w:val="24"/>
            <w:szCs w:val="24"/>
            <w:u w:val="single"/>
            <w:rtl w:val="0"/>
          </w:rPr>
          <w:t xml:space="preserve">Samples of student work</w:t>
        </w:r>
      </w:hyperlink>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line="240" w:lineRule="auto"/>
        <w:rPr>
          <w:b w:val="1"/>
          <w:bCs w:val="1"/>
          <w:sz w:val="16"/>
          <w:szCs w:val="1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27.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E">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F">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Exceeding Expectations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0">
            <w:pP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Meeting Expectations</w:t>
            </w:r>
          </w:p>
          <w:p w:rsidR="00000000" w:rsidDel="00000000" w:rsidP="00000000" w:rsidRDefault="00000000" w:rsidRPr="00000000" w14:paraId="00000021">
            <w:pPr>
              <w:spacing w:line="240" w:lineRule="auto"/>
              <w:jc w:val="center"/>
              <w:rPr>
                <w:rFonts w:ascii="Times New Roman" w:cs="Times New Roman" w:eastAsia="Times New Roman" w:hAnsi="Times New Roman"/>
                <w:sz w:val="16"/>
                <w:szCs w:val="16"/>
                <w:highlight w:val="yellow"/>
              </w:rPr>
            </w:pPr>
            <w:r w:rsidDel="00000000" w:rsidR="00000000" w:rsidRPr="00000000">
              <w:rPr>
                <w:rFonts w:ascii="Times New Roman" w:cs="Times New Roman" w:eastAsia="Times New Roman" w:hAnsi="Times New Roman"/>
                <w:b w:val="1"/>
                <w:bCs w:val="1"/>
                <w:sz w:val="16"/>
                <w:szCs w:val="16"/>
                <w:highlight w:val="yellow"/>
                <w:rtl w:val="0"/>
              </w:rPr>
              <w:t xml:space="preserve">This column is full credit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2">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Approaching Expectations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Below Expectations </w:t>
            </w:r>
          </w:p>
          <w:p w:rsidR="00000000" w:rsidDel="00000000" w:rsidP="00000000" w:rsidRDefault="00000000" w:rsidRPr="00000000" w14:paraId="00000024">
            <w:pPr>
              <w:spacing w:line="240" w:lineRule="auto"/>
              <w:jc w:val="center"/>
              <w:rPr>
                <w:rFonts w:ascii="Times New Roman" w:cs="Times New Roman" w:eastAsia="Times New Roman" w:hAnsi="Times New Roman"/>
                <w:b w:val="1"/>
                <w:bCs w:val="1"/>
                <w:sz w:val="16"/>
                <w:szCs w:val="16"/>
              </w:rPr>
            </w:pPr>
            <w:r w:rsidDel="00000000" w:rsidR="00000000" w:rsidRPr="00000000">
              <w:rPr>
                <w:rtl w:val="0"/>
              </w:rPr>
            </w:r>
          </w:p>
        </w:tc>
      </w:tr>
      <w:tr>
        <w:trPr>
          <w:cantSplit w:val="0"/>
          <w:trHeight w:val="427.96875" w:hRule="atLeast"/>
          <w:tblHeader w:val="0"/>
        </w:trPr>
        <w:tc>
          <w:tcPr>
            <w:tcMar>
              <w:top w:w="20.0" w:type="dxa"/>
              <w:left w:w="20.0" w:type="dxa"/>
              <w:bottom w:w="20.0" w:type="dxa"/>
              <w:right w:w="20.0" w:type="dxa"/>
            </w:tcMar>
          </w:tcPr>
          <w:p w:rsidR="00000000" w:rsidDel="00000000" w:rsidP="00000000" w:rsidRDefault="00000000" w:rsidRPr="00000000" w14:paraId="00000025">
            <w:pP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Creativity &amp; Depth of Literacy Pursuit</w:t>
            </w:r>
          </w:p>
          <w:p w:rsidR="00000000" w:rsidDel="00000000" w:rsidP="00000000" w:rsidRDefault="00000000" w:rsidRPr="00000000" w14:paraId="00000026">
            <w:pP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Mar>
              <w:top w:w="20.0" w:type="dxa"/>
              <w:left w:w="20.0" w:type="dxa"/>
              <w:bottom w:w="20.0" w:type="dxa"/>
              <w:right w:w="20.0" w:type="dxa"/>
            </w:tcMar>
          </w:tcPr>
          <w:p w:rsidR="00000000" w:rsidDel="00000000" w:rsidP="00000000" w:rsidRDefault="00000000" w:rsidRPr="00000000" w14:paraId="0000002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literacy pursuit is highly creative, deeply engaging, and clearly embodies the goals</w:t>
            </w:r>
          </w:p>
          <w:p w:rsidR="00000000" w:rsidDel="00000000" w:rsidP="00000000" w:rsidRDefault="00000000" w:rsidRPr="00000000" w14:paraId="0000002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of liberation, self-determination, and empowerment. The project demonstrates thoughtfulness and originality.</w:t>
            </w:r>
          </w:p>
        </w:tc>
        <w:tc>
          <w:tcPr>
            <w:tcMar>
              <w:top w:w="20.0" w:type="dxa"/>
              <w:left w:w="20.0" w:type="dxa"/>
              <w:bottom w:w="20.0" w:type="dxa"/>
              <w:right w:w="20.0" w:type="dxa"/>
            </w:tcMar>
          </w:tcPr>
          <w:p w:rsidR="00000000" w:rsidDel="00000000" w:rsidP="00000000" w:rsidRDefault="00000000" w:rsidRPr="00000000" w14:paraId="0000002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literacy pursuit is creative and meets the goals of liberation, self-determination, and empowerment.</w:t>
            </w:r>
          </w:p>
        </w:tc>
        <w:tc>
          <w:tcPr>
            <w:tcMar>
              <w:top w:w="20.0" w:type="dxa"/>
              <w:left w:w="20.0" w:type="dxa"/>
              <w:bottom w:w="20.0" w:type="dxa"/>
              <w:right w:w="20.0" w:type="dxa"/>
            </w:tcMar>
          </w:tcPr>
          <w:p w:rsidR="00000000" w:rsidDel="00000000" w:rsidP="00000000" w:rsidRDefault="00000000" w:rsidRPr="00000000" w14:paraId="0000002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literacy pursuit demonstrates some creativity but lacks depth or fails to fully embody the intended goals or the depth may be less fully developed.</w:t>
            </w:r>
          </w:p>
          <w:p w:rsidR="00000000" w:rsidDel="00000000" w:rsidP="00000000" w:rsidRDefault="00000000" w:rsidRPr="00000000" w14:paraId="0000002B">
            <w:pPr>
              <w:rPr>
                <w:rFonts w:ascii="Times New Roman" w:cs="Times New Roman" w:eastAsia="Times New Roman" w:hAnsi="Times New Roman"/>
                <w:sz w:val="16"/>
                <w:szCs w:val="16"/>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2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literacy pursuit is underdeveloped, lacks creativity, or does not align with the goals of liberation and empowerment.</w:t>
            </w:r>
          </w:p>
        </w:tc>
      </w:tr>
      <w:tr>
        <w:trPr>
          <w:cantSplit w:val="0"/>
          <w:trHeight w:val="427.96875" w:hRule="atLeast"/>
          <w:tblHeader w:val="0"/>
        </w:trPr>
        <w:tc>
          <w:tcPr>
            <w:tcMar>
              <w:top w:w="20.0" w:type="dxa"/>
              <w:left w:w="20.0" w:type="dxa"/>
              <w:bottom w:w="20.0" w:type="dxa"/>
              <w:right w:w="20.0" w:type="dxa"/>
            </w:tcMar>
          </w:tcPr>
          <w:p w:rsidR="00000000" w:rsidDel="00000000" w:rsidP="00000000" w:rsidRDefault="00000000" w:rsidRPr="00000000" w14:paraId="0000002D">
            <w:pP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Relevance to Muhammad’s Framework</w:t>
            </w:r>
          </w:p>
          <w:p w:rsidR="00000000" w:rsidDel="00000000" w:rsidP="00000000" w:rsidRDefault="00000000" w:rsidRPr="00000000" w14:paraId="0000002E">
            <w:pP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Mar>
              <w:top w:w="20.0" w:type="dxa"/>
              <w:left w:w="20.0" w:type="dxa"/>
              <w:bottom w:w="20.0" w:type="dxa"/>
              <w:right w:w="20.0" w:type="dxa"/>
            </w:tcMar>
          </w:tcPr>
          <w:p w:rsidR="00000000" w:rsidDel="00000000" w:rsidP="00000000" w:rsidRDefault="00000000" w:rsidRPr="00000000" w14:paraId="0000002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literacy pursuit strongly aligns with Muhammad’s framework of joy, love, and aesthetic fulfillment, demonstrating a deep understanding of course concepts.</w:t>
            </w:r>
          </w:p>
        </w:tc>
        <w:tc>
          <w:tcPr>
            <w:tcMar>
              <w:top w:w="20.0" w:type="dxa"/>
              <w:left w:w="20.0" w:type="dxa"/>
              <w:bottom w:w="20.0" w:type="dxa"/>
              <w:right w:w="20.0" w:type="dxa"/>
            </w:tcMar>
          </w:tcPr>
          <w:p w:rsidR="00000000" w:rsidDel="00000000" w:rsidP="00000000" w:rsidRDefault="00000000" w:rsidRPr="00000000" w14:paraId="0000003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literacy pursuit aligns with Muhammad’s framework and demonstrates a reasonable understanding of course concepts.</w:t>
            </w:r>
          </w:p>
        </w:tc>
        <w:tc>
          <w:tcPr>
            <w:tcMar>
              <w:top w:w="20.0" w:type="dxa"/>
              <w:left w:w="20.0" w:type="dxa"/>
              <w:bottom w:w="20.0" w:type="dxa"/>
              <w:right w:w="20.0" w:type="dxa"/>
            </w:tcMar>
          </w:tcPr>
          <w:p w:rsidR="00000000" w:rsidDel="00000000" w:rsidP="00000000" w:rsidRDefault="00000000" w:rsidRPr="00000000" w14:paraId="0000003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Some alignment with Muhammad’s framework, though connections to course concepts may be unclear or underdeveloped.</w:t>
            </w:r>
          </w:p>
        </w:tc>
        <w:tc>
          <w:tcPr>
            <w:tcMar>
              <w:top w:w="20.0" w:type="dxa"/>
              <w:left w:w="20.0" w:type="dxa"/>
              <w:bottom w:w="20.0" w:type="dxa"/>
              <w:right w:w="20.0" w:type="dxa"/>
            </w:tcMar>
          </w:tcPr>
          <w:p w:rsidR="00000000" w:rsidDel="00000000" w:rsidP="00000000" w:rsidRDefault="00000000" w:rsidRPr="00000000" w14:paraId="0000003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Little or no connection to Muhammad’s framework, with limited understanding of course concepts.</w:t>
            </w:r>
          </w:p>
        </w:tc>
      </w:tr>
      <w:tr>
        <w:trPr>
          <w:cantSplit w:val="0"/>
          <w:trHeight w:val="427.96875" w:hRule="atLeast"/>
          <w:tblHeader w:val="0"/>
        </w:trPr>
        <w:tc>
          <w:tcPr>
            <w:tcMar>
              <w:top w:w="20.0" w:type="dxa"/>
              <w:left w:w="20.0" w:type="dxa"/>
              <w:bottom w:w="20.0" w:type="dxa"/>
              <w:right w:w="20.0" w:type="dxa"/>
            </w:tcMar>
          </w:tcPr>
          <w:p w:rsidR="00000000" w:rsidDel="00000000" w:rsidP="00000000" w:rsidRDefault="00000000" w:rsidRPr="00000000" w14:paraId="00000033">
            <w:pP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Audience Engagement &amp; Sharing</w:t>
            </w:r>
          </w:p>
          <w:p w:rsidR="00000000" w:rsidDel="00000000" w:rsidP="00000000" w:rsidRDefault="00000000" w:rsidRPr="00000000" w14:paraId="00000034">
            <w:pP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Mar>
              <w:top w:w="20.0" w:type="dxa"/>
              <w:left w:w="20.0" w:type="dxa"/>
              <w:bottom w:w="20.0" w:type="dxa"/>
              <w:right w:w="20.0" w:type="dxa"/>
            </w:tcMar>
          </w:tcPr>
          <w:p w:rsidR="00000000" w:rsidDel="00000000" w:rsidP="00000000" w:rsidRDefault="00000000" w:rsidRPr="00000000" w14:paraId="0000003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pursuit is effectively shared with an authentic audience, and the student engages the audience meaningfully (e.g., through social media, publication, etc.).</w:t>
            </w:r>
          </w:p>
        </w:tc>
        <w:tc>
          <w:tcPr>
            <w:tcMar>
              <w:top w:w="20.0" w:type="dxa"/>
              <w:left w:w="20.0" w:type="dxa"/>
              <w:bottom w:w="20.0" w:type="dxa"/>
              <w:right w:w="20.0" w:type="dxa"/>
            </w:tcMar>
          </w:tcPr>
          <w:p w:rsidR="00000000" w:rsidDel="00000000" w:rsidP="00000000" w:rsidRDefault="00000000" w:rsidRPr="00000000" w14:paraId="0000003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pursuit is shared with an authentic audience, engagement with the audience is clearly articulated.</w:t>
            </w:r>
          </w:p>
        </w:tc>
        <w:tc>
          <w:tcPr>
            <w:tcMar>
              <w:top w:w="20.0" w:type="dxa"/>
              <w:left w:w="20.0" w:type="dxa"/>
              <w:bottom w:w="20.0" w:type="dxa"/>
              <w:right w:w="20.0" w:type="dxa"/>
            </w:tcMar>
          </w:tcPr>
          <w:p w:rsidR="00000000" w:rsidDel="00000000" w:rsidP="00000000" w:rsidRDefault="00000000" w:rsidRPr="00000000" w14:paraId="0000003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pursuit is shared with an audience, but the effort lacks engagement or impact. Concept not  thoroughly developed.</w:t>
            </w:r>
          </w:p>
        </w:tc>
        <w:tc>
          <w:tcPr>
            <w:tcMar>
              <w:top w:w="20.0" w:type="dxa"/>
              <w:left w:w="20.0" w:type="dxa"/>
              <w:bottom w:w="20.0" w:type="dxa"/>
              <w:right w:w="20.0" w:type="dxa"/>
            </w:tcMar>
          </w:tcPr>
          <w:p w:rsidR="00000000" w:rsidDel="00000000" w:rsidP="00000000" w:rsidRDefault="00000000" w:rsidRPr="00000000" w14:paraId="0000003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pursuit is either not shared or shared without meaningful engagement with an audience.</w:t>
            </w:r>
          </w:p>
        </w:tc>
      </w:tr>
      <w:tr>
        <w:trPr>
          <w:cantSplit w:val="0"/>
          <w:trHeight w:val="427.96875" w:hRule="atLeast"/>
          <w:tblHeader w:val="0"/>
        </w:trPr>
        <w:tc>
          <w:tcPr>
            <w:tcMar>
              <w:top w:w="20.0" w:type="dxa"/>
              <w:left w:w="20.0" w:type="dxa"/>
              <w:bottom w:w="20.0" w:type="dxa"/>
              <w:right w:w="20.0" w:type="dxa"/>
            </w:tcMar>
          </w:tcPr>
          <w:p w:rsidR="00000000" w:rsidDel="00000000" w:rsidP="00000000" w:rsidRDefault="00000000" w:rsidRPr="00000000" w14:paraId="00000039">
            <w:pP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Reflection on Process &amp; Joy-Oriented Creation</w:t>
            </w:r>
          </w:p>
          <w:p w:rsidR="00000000" w:rsidDel="00000000" w:rsidP="00000000" w:rsidRDefault="00000000" w:rsidRPr="00000000" w14:paraId="0000003A">
            <w:pP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2</w:t>
            </w:r>
          </w:p>
        </w:tc>
        <w:tc>
          <w:tcPr>
            <w:tcMar>
              <w:top w:w="20.0" w:type="dxa"/>
              <w:left w:w="20.0" w:type="dxa"/>
              <w:bottom w:w="20.0" w:type="dxa"/>
              <w:right w:w="20.0" w:type="dxa"/>
            </w:tcMar>
          </w:tcPr>
          <w:p w:rsidR="00000000" w:rsidDel="00000000" w:rsidP="00000000" w:rsidRDefault="00000000" w:rsidRPr="00000000" w14:paraId="0000003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reflection thoughtfully and thoroughly addresses the creation process, detailing steps, resources, and the personal joy, love, and fulfillment experienced. Clear connections are made between the pursuit and personal growth.</w:t>
            </w:r>
          </w:p>
        </w:tc>
        <w:tc>
          <w:tcPr>
            <w:tcMar>
              <w:top w:w="20.0" w:type="dxa"/>
              <w:left w:w="20.0" w:type="dxa"/>
              <w:bottom w:w="20.0" w:type="dxa"/>
              <w:right w:w="20.0" w:type="dxa"/>
            </w:tcMar>
          </w:tcPr>
          <w:p w:rsidR="00000000" w:rsidDel="00000000" w:rsidP="00000000" w:rsidRDefault="00000000" w:rsidRPr="00000000" w14:paraId="0000003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reflection adequately addresses the creation process and discusses the joy and fulfillment gained.</w:t>
            </w:r>
          </w:p>
        </w:tc>
        <w:tc>
          <w:tcPr>
            <w:tcMar>
              <w:top w:w="20.0" w:type="dxa"/>
              <w:left w:w="20.0" w:type="dxa"/>
              <w:bottom w:w="20.0" w:type="dxa"/>
              <w:right w:w="20.0" w:type="dxa"/>
            </w:tcMar>
          </w:tcPr>
          <w:p w:rsidR="00000000" w:rsidDel="00000000" w:rsidP="00000000" w:rsidRDefault="00000000" w:rsidRPr="00000000" w14:paraId="0000003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reflection provides some insight into the process but lacks depth or fails to thoroughly explore the joy and fulfillment experienced.</w:t>
            </w:r>
          </w:p>
        </w:tc>
        <w:tc>
          <w:tcPr>
            <w:tcMar>
              <w:top w:w="20.0" w:type="dxa"/>
              <w:left w:w="20.0" w:type="dxa"/>
              <w:bottom w:w="20.0" w:type="dxa"/>
              <w:right w:w="20.0" w:type="dxa"/>
            </w:tcMar>
          </w:tcPr>
          <w:p w:rsidR="00000000" w:rsidDel="00000000" w:rsidP="00000000" w:rsidRDefault="00000000" w:rsidRPr="00000000" w14:paraId="0000003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reflection is superficial, with minimal discussion of the creation process or joy gained from the literacy pursuit.</w:t>
            </w:r>
          </w:p>
        </w:tc>
      </w:tr>
      <w:tr>
        <w:trPr>
          <w:cantSplit w:val="0"/>
          <w:trHeight w:val="427.96875" w:hRule="atLeast"/>
          <w:tblHeader w:val="0"/>
        </w:trPr>
        <w:tc>
          <w:tcPr>
            <w:tcMar>
              <w:top w:w="20.0" w:type="dxa"/>
              <w:left w:w="20.0" w:type="dxa"/>
              <w:bottom w:w="20.0" w:type="dxa"/>
              <w:right w:w="20.0" w:type="dxa"/>
            </w:tcMar>
          </w:tcPr>
          <w:p w:rsidR="00000000" w:rsidDel="00000000" w:rsidP="00000000" w:rsidRDefault="00000000" w:rsidRPr="00000000" w14:paraId="0000003F">
            <w:pP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Connection to Texts &amp; Teaching Practice</w:t>
            </w:r>
          </w:p>
          <w:p w:rsidR="00000000" w:rsidDel="00000000" w:rsidP="00000000" w:rsidRDefault="00000000" w:rsidRPr="00000000" w14:paraId="00000040">
            <w:pP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w:t>
            </w:r>
          </w:p>
        </w:tc>
        <w:tc>
          <w:tcPr>
            <w:tcMar>
              <w:top w:w="20.0" w:type="dxa"/>
              <w:left w:w="20.0" w:type="dxa"/>
              <w:bottom w:w="20.0" w:type="dxa"/>
              <w:right w:w="20.0" w:type="dxa"/>
            </w:tcMar>
          </w:tcPr>
          <w:p w:rsidR="00000000" w:rsidDel="00000000" w:rsidP="00000000" w:rsidRDefault="00000000" w:rsidRPr="00000000" w14:paraId="0000004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Strong connections are made between the literacy pursuit and Muhammad’s ideas as well as other course texts. The reflection provides clear, insightful ideas for integrating similar literacy pursuits into future teaching practice.</w:t>
            </w:r>
          </w:p>
        </w:tc>
        <w:tc>
          <w:tcPr>
            <w:tcMar>
              <w:top w:w="20.0" w:type="dxa"/>
              <w:left w:w="20.0" w:type="dxa"/>
              <w:bottom w:w="20.0" w:type="dxa"/>
              <w:right w:w="20.0" w:type="dxa"/>
            </w:tcMar>
          </w:tcPr>
          <w:p w:rsidR="00000000" w:rsidDel="00000000" w:rsidP="00000000" w:rsidRDefault="00000000" w:rsidRPr="00000000" w14:paraId="0000004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reflection makes clear connections to Muhammad’s ideas and provides reasonable ideas for integrating literacy pursuits into future teaching practice.</w:t>
            </w:r>
          </w:p>
        </w:tc>
        <w:tc>
          <w:tcPr>
            <w:tcMar>
              <w:top w:w="20.0" w:type="dxa"/>
              <w:left w:w="20.0" w:type="dxa"/>
              <w:bottom w:w="20.0" w:type="dxa"/>
              <w:right w:w="20.0" w:type="dxa"/>
            </w:tcMar>
          </w:tcPr>
          <w:p w:rsidR="00000000" w:rsidDel="00000000" w:rsidP="00000000" w:rsidRDefault="00000000" w:rsidRPr="00000000" w14:paraId="0000004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Some connections are made between the literacy pursuit and Muhammad’s framework, but ideas for classroom application are vague or underdeveloped.</w:t>
            </w:r>
          </w:p>
        </w:tc>
        <w:tc>
          <w:tcPr>
            <w:tcMar>
              <w:top w:w="20.0" w:type="dxa"/>
              <w:left w:w="20.0" w:type="dxa"/>
              <w:bottom w:w="20.0" w:type="dxa"/>
              <w:right w:w="20.0" w:type="dxa"/>
            </w:tcMar>
          </w:tcPr>
          <w:p w:rsidR="00000000" w:rsidDel="00000000" w:rsidP="00000000" w:rsidRDefault="00000000" w:rsidRPr="00000000" w14:paraId="0000004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Little or no connection to course texts, and minimal reflection on the pursuit’s potential impact on future teaching practice.</w:t>
            </w:r>
          </w:p>
        </w:tc>
      </w:tr>
    </w:tbl>
    <w:p w:rsidR="00000000" w:rsidDel="00000000" w:rsidP="00000000" w:rsidRDefault="00000000" w:rsidRPr="00000000" w14:paraId="00000045">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henTEMeJfQ4fT2Pga2FyVlbYW9GKo_hm?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