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14.399999999999999" w:lineRule="auto"/>
        <w:jc w:val="center"/>
        <w:rPr>
          <w:rFonts w:ascii="Times New Roman" w:cs="Times New Roman" w:eastAsia="Times New Roman" w:hAnsi="Times New Roman"/>
          <w:b w:val="1"/>
          <w:bCs w:val="1"/>
          <w:color w:val="000000"/>
          <w:sz w:val="22"/>
          <w:szCs w:val="22"/>
        </w:rPr>
      </w:pPr>
      <w:bookmarkStart w:colFirst="0" w:colLast="0" w:name="_vnho1kbvimn2" w:id="0"/>
      <w:bookmarkEnd w:id="0"/>
      <w:r w:rsidDel="00000000" w:rsidR="00000000" w:rsidRPr="00000000">
        <w:rPr>
          <w:rFonts w:ascii="Times New Roman" w:cs="Times New Roman" w:eastAsia="Times New Roman" w:hAnsi="Times New Roman"/>
          <w:b w:val="1"/>
          <w:bCs w:val="1"/>
          <w:color w:val="000000"/>
          <w:sz w:val="22"/>
          <w:szCs w:val="22"/>
          <w:rtl w:val="0"/>
        </w:rPr>
        <w:t xml:space="preserve">Assignment:  Culturally-Historically Responsive Literacy Mini-Unit </w:t>
      </w:r>
    </w:p>
    <w:p w:rsidR="00000000" w:rsidDel="00000000" w:rsidP="00000000" w:rsidRDefault="00000000" w:rsidRPr="00000000" w14:paraId="00000002">
      <w:pPr>
        <w:pStyle w:val="Heading3"/>
        <w:keepNext w:val="0"/>
        <w:keepLines w:val="0"/>
        <w:spacing w:before="280" w:line="14.399999999999999" w:lineRule="auto"/>
        <w:jc w:val="center"/>
        <w:rPr>
          <w:rFonts w:ascii="Times New Roman" w:cs="Times New Roman" w:eastAsia="Times New Roman" w:hAnsi="Times New Roman"/>
          <w:i w:val="1"/>
          <w:iCs w:val="1"/>
          <w:color w:val="000000"/>
          <w:sz w:val="20"/>
          <w:szCs w:val="20"/>
        </w:rPr>
      </w:pPr>
      <w:bookmarkStart w:colFirst="0" w:colLast="0" w:name="_64k0xl7n86og" w:id="1"/>
      <w:bookmarkEnd w:id="1"/>
      <w:r w:rsidDel="00000000" w:rsidR="00000000" w:rsidRPr="00000000">
        <w:rPr>
          <w:rFonts w:ascii="Times New Roman" w:cs="Times New Roman" w:eastAsia="Times New Roman" w:hAnsi="Times New Roman"/>
          <w:i w:val="1"/>
          <w:iCs w:val="1"/>
          <w:color w:val="000000"/>
          <w:sz w:val="20"/>
          <w:szCs w:val="20"/>
          <w:rtl w:val="0"/>
        </w:rPr>
        <w:t xml:space="preserve">30 possible points (Last revised Jan. 2026) </w:t>
      </w:r>
    </w:p>
    <w:p w:rsidR="00000000" w:rsidDel="00000000" w:rsidP="00000000" w:rsidRDefault="00000000" w:rsidRPr="00000000" w14:paraId="00000003">
      <w:pPr>
        <w:pStyle w:val="Heading3"/>
        <w:keepNext w:val="0"/>
        <w:spacing w:after="0" w:before="0" w:line="240" w:lineRule="auto"/>
        <w:rPr>
          <w:rFonts w:ascii="Times New Roman" w:cs="Times New Roman" w:eastAsia="Times New Roman" w:hAnsi="Times New Roman"/>
          <w:b w:val="1"/>
          <w:bCs w:val="1"/>
          <w:color w:val="000000"/>
          <w:sz w:val="20"/>
          <w:szCs w:val="20"/>
        </w:rPr>
      </w:pPr>
      <w:bookmarkStart w:colFirst="0" w:colLast="0" w:name="_k04pqsjsvlve" w:id="2"/>
      <w:bookmarkEnd w:id="2"/>
      <w:r w:rsidDel="00000000" w:rsidR="00000000" w:rsidRPr="00000000">
        <w:rPr>
          <w:rtl w:val="0"/>
        </w:rPr>
      </w:r>
    </w:p>
    <w:p w:rsidR="00000000" w:rsidDel="00000000" w:rsidP="00000000" w:rsidRDefault="00000000" w:rsidRPr="00000000" w14:paraId="00000004">
      <w:pPr>
        <w:pStyle w:val="Heading3"/>
        <w:keepNext w:val="0"/>
        <w:spacing w:after="0" w:before="0" w:line="240" w:lineRule="auto"/>
        <w:rPr>
          <w:rFonts w:ascii="Times New Roman" w:cs="Times New Roman" w:eastAsia="Times New Roman" w:hAnsi="Times New Roman"/>
          <w:color w:val="000000"/>
          <w:sz w:val="20"/>
          <w:szCs w:val="20"/>
        </w:rPr>
      </w:pPr>
      <w:bookmarkStart w:colFirst="0" w:colLast="0" w:name="_i930t0z4v0za" w:id="3"/>
      <w:bookmarkEnd w:id="3"/>
      <w:r w:rsidDel="00000000" w:rsidR="00000000" w:rsidRPr="00000000">
        <w:rPr>
          <w:rFonts w:ascii="Times New Roman" w:cs="Times New Roman" w:eastAsia="Times New Roman" w:hAnsi="Times New Roman"/>
          <w:color w:val="000000"/>
          <w:sz w:val="20"/>
          <w:szCs w:val="20"/>
          <w:rtl w:val="0"/>
        </w:rPr>
        <w:t xml:space="preserve">This assignment is your chance to create a powerful, transformative mini-unit that brings Dr. Gholdy Muhammad’s equity framework to life in the classroom. This is a chance to put equity into action and reflect on how your teaching can inspire and transform.</w:t>
      </w:r>
    </w:p>
    <w:p w:rsidR="00000000" w:rsidDel="00000000" w:rsidP="00000000" w:rsidRDefault="00000000" w:rsidRPr="00000000" w14:paraId="00000005">
      <w:pPr>
        <w:pStyle w:val="Heading3"/>
        <w:keepNext w:val="0"/>
        <w:spacing w:after="0" w:before="0" w:line="240" w:lineRule="auto"/>
        <w:rPr>
          <w:rFonts w:ascii="Times New Roman" w:cs="Times New Roman" w:eastAsia="Times New Roman" w:hAnsi="Times New Roman"/>
          <w:b w:val="1"/>
          <w:bCs w:val="1"/>
          <w:color w:val="000000"/>
          <w:sz w:val="20"/>
          <w:szCs w:val="20"/>
        </w:rPr>
      </w:pPr>
      <w:bookmarkStart w:colFirst="0" w:colLast="0" w:name="_w99a0fjg7dbr" w:id="4"/>
      <w:bookmarkEnd w:id="4"/>
      <w:r w:rsidDel="00000000" w:rsidR="00000000" w:rsidRPr="00000000">
        <w:rPr>
          <w:rFonts w:ascii="Times New Roman" w:cs="Times New Roman" w:eastAsia="Times New Roman" w:hAnsi="Times New Roman"/>
          <w:b w:val="1"/>
          <w:bCs w:val="1"/>
          <w:color w:val="000000"/>
          <w:sz w:val="20"/>
          <w:szCs w:val="20"/>
          <w:rtl w:val="0"/>
        </w:rPr>
        <w:t xml:space="preserve">Objective:</w:t>
      </w:r>
    </w:p>
    <w:p w:rsidR="00000000" w:rsidDel="00000000" w:rsidP="00000000" w:rsidRDefault="00000000" w:rsidRPr="00000000" w14:paraId="00000006">
      <w:pPr>
        <w:keepLines w:val="1"/>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assignment serves as the culminating, summative assessment of your learning in this course. You will conceptualize, design, and reflect on a mini-unit of lessons that incorporate insights from Dr. Gholdy Muhammad’s four-layer equity framework of identity, skills, intellect, and criticality, as well as the pursuit of joy. The unit will focus on culturally and historically responsive literacy practices that engage students in meaningful and joyful literacy learning.</w:t>
      </w:r>
    </w:p>
    <w:p w:rsidR="00000000" w:rsidDel="00000000" w:rsidP="00000000" w:rsidRDefault="00000000" w:rsidRPr="00000000" w14:paraId="00000007">
      <w:pPr>
        <w:pStyle w:val="Heading3"/>
        <w:keepNext w:val="0"/>
        <w:keepLines w:val="0"/>
        <w:spacing w:after="0" w:before="0" w:line="240" w:lineRule="auto"/>
        <w:rPr>
          <w:rFonts w:ascii="Times New Roman" w:cs="Times New Roman" w:eastAsia="Times New Roman" w:hAnsi="Times New Roman"/>
          <w:b w:val="1"/>
          <w:bCs w:val="1"/>
          <w:color w:val="000000"/>
          <w:sz w:val="20"/>
          <w:szCs w:val="20"/>
        </w:rPr>
      </w:pPr>
      <w:bookmarkStart w:colFirst="0" w:colLast="0" w:name="_tjx91r24usvf" w:id="5"/>
      <w:bookmarkEnd w:id="5"/>
      <w:r w:rsidDel="00000000" w:rsidR="00000000" w:rsidRPr="00000000">
        <w:rPr>
          <w:rFonts w:ascii="Times New Roman" w:cs="Times New Roman" w:eastAsia="Times New Roman" w:hAnsi="Times New Roman"/>
          <w:b w:val="1"/>
          <w:bCs w:val="1"/>
          <w:color w:val="000000"/>
          <w:sz w:val="20"/>
          <w:szCs w:val="20"/>
          <w:rtl w:val="0"/>
        </w:rPr>
        <w:t xml:space="preserve">Instructions:</w:t>
      </w:r>
    </w:p>
    <w:p w:rsidR="00000000" w:rsidDel="00000000" w:rsidP="00000000" w:rsidRDefault="00000000" w:rsidRPr="00000000" w14:paraId="00000008">
      <w:pPr>
        <w:pStyle w:val="Heading3"/>
        <w:keepNext w:val="0"/>
        <w:keepLines w:val="0"/>
        <w:spacing w:after="0" w:before="0" w:line="240" w:lineRule="auto"/>
        <w:ind w:firstLine="720"/>
        <w:rPr>
          <w:rFonts w:ascii="Times New Roman" w:cs="Times New Roman" w:eastAsia="Times New Roman" w:hAnsi="Times New Roman"/>
          <w:b w:val="1"/>
          <w:bCs w:val="1"/>
          <w:sz w:val="20"/>
          <w:szCs w:val="20"/>
        </w:rPr>
      </w:pPr>
      <w:bookmarkStart w:colFirst="0" w:colLast="0" w:name="_rhva1mvj0gdz" w:id="6"/>
      <w:bookmarkEnd w:id="6"/>
      <w:r w:rsidDel="00000000" w:rsidR="00000000" w:rsidRPr="00000000">
        <w:rPr>
          <w:rFonts w:ascii="Times New Roman" w:cs="Times New Roman" w:eastAsia="Times New Roman" w:hAnsi="Times New Roman"/>
          <w:b w:val="1"/>
          <w:bCs w:val="1"/>
          <w:sz w:val="20"/>
          <w:szCs w:val="20"/>
          <w:rtl w:val="0"/>
        </w:rPr>
        <w:t xml:space="preserve">Unit Context:</w:t>
      </w:r>
    </w:p>
    <w:p w:rsidR="00000000" w:rsidDel="00000000" w:rsidP="00000000" w:rsidRDefault="00000000" w:rsidRPr="00000000" w14:paraId="00000009">
      <w:pPr>
        <w:numPr>
          <w:ilvl w:val="0"/>
          <w:numId w:val="2"/>
        </w:numPr>
        <w:spacing w:line="240" w:lineRule="auto"/>
        <w:ind w:left="144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Purpose: Describe the context of the learners and the type of educational setting for your unit. Consider factors such as students' cultural, political, historical, linguistic, and economic backgrounds, as well as the learning modality (face-to-face, hybrid, or fully online).</w:t>
      </w:r>
    </w:p>
    <w:p w:rsidR="00000000" w:rsidDel="00000000" w:rsidP="00000000" w:rsidRDefault="00000000" w:rsidRPr="00000000" w14:paraId="0000000A">
      <w:pPr>
        <w:numPr>
          <w:ilvl w:val="0"/>
          <w:numId w:val="2"/>
        </w:numPr>
        <w:spacing w:line="240" w:lineRule="auto"/>
        <w:ind w:left="144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Disciplinary Focus: Define the subject area or theme of the unit and explain how the realities of your learners shape the design.</w:t>
      </w:r>
    </w:p>
    <w:p w:rsidR="00000000" w:rsidDel="00000000" w:rsidP="00000000" w:rsidRDefault="00000000" w:rsidRPr="00000000" w14:paraId="0000000B">
      <w:pPr>
        <w:spacing w:line="240" w:lineRule="auto"/>
        <w:ind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 Description and Purpose:</w:t>
      </w:r>
    </w:p>
    <w:p w:rsidR="00000000" w:rsidDel="00000000" w:rsidP="00000000" w:rsidRDefault="00000000" w:rsidRPr="00000000" w14:paraId="0000000C">
      <w:pPr>
        <w:numPr>
          <w:ilvl w:val="0"/>
          <w:numId w:val="3"/>
        </w:numPr>
        <w:spacing w:line="240" w:lineRule="auto"/>
        <w:ind w:left="144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Essential Question/Inquiry: Clearly articulate the essential question or inquiry guiding your unit.</w:t>
      </w:r>
    </w:p>
    <w:p w:rsidR="00000000" w:rsidDel="00000000" w:rsidP="00000000" w:rsidRDefault="00000000" w:rsidRPr="00000000" w14:paraId="0000000D">
      <w:pPr>
        <w:numPr>
          <w:ilvl w:val="0"/>
          <w:numId w:val="3"/>
        </w:numPr>
        <w:spacing w:line="240" w:lineRule="auto"/>
        <w:ind w:left="144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Justification: Explain why this inquiry is important for your students and their context. What will students learn, and why is it important? How does the unit recognize their histories, foster engagement in literacy, and promote equity?</w:t>
      </w:r>
    </w:p>
    <w:p w:rsidR="00000000" w:rsidDel="00000000" w:rsidP="00000000" w:rsidRDefault="00000000" w:rsidRPr="00000000" w14:paraId="0000000E">
      <w:pPr>
        <w:spacing w:line="240" w:lineRule="auto"/>
        <w:ind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Literacies Framework (Five Pursuits):</w:t>
      </w:r>
    </w:p>
    <w:p w:rsidR="00000000" w:rsidDel="00000000" w:rsidP="00000000" w:rsidRDefault="00000000" w:rsidRPr="00000000" w14:paraId="0000000F">
      <w:pPr>
        <w:numPr>
          <w:ilvl w:val="0"/>
          <w:numId w:val="5"/>
        </w:numPr>
        <w:spacing w:line="240" w:lineRule="auto"/>
        <w:ind w:left="144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Identity: How will your unit help students explore and express their own identities?</w:t>
      </w:r>
    </w:p>
    <w:p w:rsidR="00000000" w:rsidDel="00000000" w:rsidP="00000000" w:rsidRDefault="00000000" w:rsidRPr="00000000" w14:paraId="00000010">
      <w:pPr>
        <w:numPr>
          <w:ilvl w:val="0"/>
          <w:numId w:val="5"/>
        </w:numPr>
        <w:spacing w:line="240" w:lineRule="auto"/>
        <w:ind w:left="144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Skills: What specific literacy skills will students develop through this unit?</w:t>
      </w:r>
    </w:p>
    <w:p w:rsidR="00000000" w:rsidDel="00000000" w:rsidP="00000000" w:rsidRDefault="00000000" w:rsidRPr="00000000" w14:paraId="00000011">
      <w:pPr>
        <w:numPr>
          <w:ilvl w:val="0"/>
          <w:numId w:val="5"/>
        </w:numPr>
        <w:spacing w:line="240" w:lineRule="auto"/>
        <w:ind w:left="144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Intellect: How will your unit deepen students' knowledge and understanding of complex ideas or concepts?</w:t>
      </w:r>
    </w:p>
    <w:p w:rsidR="00000000" w:rsidDel="00000000" w:rsidP="00000000" w:rsidRDefault="00000000" w:rsidRPr="00000000" w14:paraId="00000012">
      <w:pPr>
        <w:numPr>
          <w:ilvl w:val="0"/>
          <w:numId w:val="5"/>
        </w:numPr>
        <w:spacing w:line="240" w:lineRule="auto"/>
        <w:ind w:left="144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Criticality: How will your unit engage students in critical thinking about power, equity, and social justice?</w:t>
      </w:r>
    </w:p>
    <w:p w:rsidR="00000000" w:rsidDel="00000000" w:rsidP="00000000" w:rsidRDefault="00000000" w:rsidRPr="00000000" w14:paraId="00000013">
      <w:pPr>
        <w:numPr>
          <w:ilvl w:val="0"/>
          <w:numId w:val="5"/>
        </w:numPr>
        <w:spacing w:line="240" w:lineRule="auto"/>
        <w:ind w:left="144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Joy: How will you incorporate joy and aesthetic fulfillment into the literacy experiences?</w:t>
      </w:r>
    </w:p>
    <w:p w:rsidR="00000000" w:rsidDel="00000000" w:rsidP="00000000" w:rsidRDefault="00000000" w:rsidRPr="00000000" w14:paraId="00000014">
      <w:pPr>
        <w:spacing w:line="240" w:lineRule="auto"/>
        <w:ind w:firstLine="72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Use course texts, especially Muhammad’s framework, to guide your unit design. Cite these texts in APA style to support your claims.</w:t>
      </w:r>
    </w:p>
    <w:p w:rsidR="00000000" w:rsidDel="00000000" w:rsidP="00000000" w:rsidRDefault="00000000" w:rsidRPr="00000000" w14:paraId="00000015">
      <w:pPr>
        <w:spacing w:line="240" w:lineRule="auto"/>
        <w:ind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Lesson Plans:</w:t>
      </w:r>
    </w:p>
    <w:p w:rsidR="00000000" w:rsidDel="00000000" w:rsidP="00000000" w:rsidRDefault="00000000" w:rsidRPr="00000000" w14:paraId="00000016">
      <w:pPr>
        <w:numPr>
          <w:ilvl w:val="0"/>
          <w:numId w:val="4"/>
        </w:numPr>
        <w:spacing w:line="240" w:lineRule="auto"/>
        <w:ind w:left="1440" w:hanging="360"/>
        <w:rPr>
          <w:color w:val="000000"/>
          <w:sz w:val="20"/>
          <w:szCs w:val="20"/>
        </w:rPr>
      </w:pPr>
      <w:r w:rsidDel="00000000" w:rsidR="00000000" w:rsidRPr="00000000">
        <w:rPr>
          <w:rFonts w:ascii="Times New Roman" w:cs="Times New Roman" w:eastAsia="Times New Roman" w:hAnsi="Times New Roman"/>
          <w:sz w:val="20"/>
          <w:szCs w:val="20"/>
          <w:rtl w:val="0"/>
        </w:rPr>
        <w:t xml:space="preserve">Plan Structure: Design a mini-unit consisting of approximately 3-5 lessons. Each lesson should address</w:t>
      </w:r>
      <w:r w:rsidDel="00000000" w:rsidR="00000000" w:rsidRPr="00000000">
        <w:rPr>
          <w:rFonts w:ascii="Times New Roman" w:cs="Times New Roman" w:eastAsia="Times New Roman" w:hAnsi="Times New Roman"/>
          <w:b w:val="1"/>
          <w:bCs w:val="1"/>
          <w:sz w:val="20"/>
          <w:szCs w:val="20"/>
          <w:rtl w:val="0"/>
        </w:rPr>
        <w:t xml:space="preserve"> at least one</w:t>
      </w:r>
      <w:r w:rsidDel="00000000" w:rsidR="00000000" w:rsidRPr="00000000">
        <w:rPr>
          <w:rFonts w:ascii="Times New Roman" w:cs="Times New Roman" w:eastAsia="Times New Roman" w:hAnsi="Times New Roman"/>
          <w:sz w:val="20"/>
          <w:szCs w:val="20"/>
          <w:rtl w:val="0"/>
        </w:rPr>
        <w:t xml:space="preserve"> of Muhammad’s four pursuits (identity, skills, intellect, and criticality) and all units must promote the pursuit of joy.</w:t>
      </w:r>
    </w:p>
    <w:p w:rsidR="00000000" w:rsidDel="00000000" w:rsidP="00000000" w:rsidRDefault="00000000" w:rsidRPr="00000000" w14:paraId="00000017">
      <w:pPr>
        <w:numPr>
          <w:ilvl w:val="0"/>
          <w:numId w:val="4"/>
        </w:numPr>
        <w:spacing w:line="240" w:lineRule="auto"/>
        <w:ind w:left="144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Lesson Objectives: Outline the objectives for each lesson, detailing what students will learn and what activities will take place. Focus on creating lessons that foster student engagement and meaningful learning experiences.</w:t>
      </w:r>
    </w:p>
    <w:p w:rsidR="00000000" w:rsidDel="00000000" w:rsidP="00000000" w:rsidRDefault="00000000" w:rsidRPr="00000000" w14:paraId="00000018">
      <w:pPr>
        <w:numPr>
          <w:ilvl w:val="0"/>
          <w:numId w:val="4"/>
        </w:numPr>
        <w:spacing w:line="240" w:lineRule="auto"/>
        <w:ind w:left="144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Assessment: Include methods for assessing whether students have met the objectives. Consider formative and summative assessments that align with your goals for the unit.</w:t>
      </w:r>
    </w:p>
    <w:p w:rsidR="00000000" w:rsidDel="00000000" w:rsidP="00000000" w:rsidRDefault="00000000" w:rsidRPr="00000000" w14:paraId="00000019">
      <w:pPr>
        <w:numPr>
          <w:ilvl w:val="0"/>
          <w:numId w:val="4"/>
        </w:numPr>
        <w:spacing w:line="240" w:lineRule="auto"/>
        <w:ind w:left="144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Resources: Provide any resources (e.g., videos, readings, graphic organizers) necessary for the lessons, with links where appropriate.</w:t>
      </w:r>
    </w:p>
    <w:p w:rsidR="00000000" w:rsidDel="00000000" w:rsidP="00000000" w:rsidRDefault="00000000" w:rsidRPr="00000000" w14:paraId="0000001A">
      <w:pPr>
        <w:spacing w:line="240" w:lineRule="auto"/>
        <w:ind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 a Sample:</w:t>
      </w:r>
    </w:p>
    <w:p w:rsidR="00000000" w:rsidDel="00000000" w:rsidP="00000000" w:rsidRDefault="00000000" w:rsidRPr="00000000" w14:paraId="0000001B">
      <w:pPr>
        <w:numPr>
          <w:ilvl w:val="0"/>
          <w:numId w:val="1"/>
        </w:numPr>
        <w:spacing w:line="240" w:lineRule="auto"/>
        <w:ind w:left="144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Teacher Participation: Complete one of the assignments from your unit yourself to model the work you expect from students. This will help you gain empathy for the learners and offer a concrete example for them to follow.</w:t>
      </w:r>
    </w:p>
    <w:p w:rsidR="00000000" w:rsidDel="00000000" w:rsidP="00000000" w:rsidRDefault="00000000" w:rsidRPr="00000000" w14:paraId="0000001C">
      <w:pPr>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Personal Reflection:</w:t>
      </w:r>
      <w:r w:rsidDel="00000000" w:rsidR="00000000" w:rsidRPr="00000000">
        <w:rPr>
          <w:rFonts w:ascii="Times New Roman" w:cs="Times New Roman" w:eastAsia="Times New Roman" w:hAnsi="Times New Roman"/>
          <w:sz w:val="20"/>
          <w:szCs w:val="20"/>
          <w:rtl w:val="0"/>
        </w:rPr>
        <w:t xml:space="preserve"> Reflect on the process of designing this unit. What challenges did you encounter? What inspired you? How has this assignment enhanced your understanding of Muhammad’s framework, literacy, and your role as an educator? Reflect on the commitments to equity-aligned literacies teaching that you will take with you from this course, including how you incorporated the five pursuits into your unit.</w:t>
      </w:r>
    </w:p>
    <w:p w:rsidR="00000000" w:rsidDel="00000000" w:rsidP="00000000" w:rsidRDefault="00000000" w:rsidRPr="00000000" w14:paraId="0000001D">
      <w:pPr>
        <w:spacing w:line="240" w:lineRule="auto"/>
        <w:ind w:left="1440" w:firstLine="0"/>
        <w:rPr>
          <w:rFonts w:ascii="Times New Roman" w:cs="Times New Roman" w:eastAsia="Times New Roman" w:hAnsi="Times New Roman"/>
          <w:sz w:val="18"/>
          <w:szCs w:val="18"/>
        </w:rPr>
      </w:pPr>
      <w:hyperlink r:id="rId6">
        <w:r w:rsidDel="00000000" w:rsidR="00000000" w:rsidRPr="00000000">
          <w:rPr>
            <w:rFonts w:ascii="Times New Roman" w:cs="Times New Roman" w:eastAsia="Times New Roman" w:hAnsi="Times New Roman"/>
            <w:color w:val="0000ee"/>
            <w:sz w:val="20"/>
            <w:szCs w:val="20"/>
            <w:u w:val="single"/>
            <w:rtl w:val="0"/>
          </w:rPr>
          <w:t xml:space="preserve">Samples of student work</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yellow"/>
          <w:rtl w:val="0"/>
        </w:rPr>
        <w:t xml:space="preserve">Some examples are not final products</w:t>
      </w:r>
      <w:r w:rsidDel="00000000" w:rsidR="00000000" w:rsidRPr="00000000">
        <w:rPr>
          <w:rtl w:val="0"/>
        </w:rPr>
      </w:r>
    </w:p>
    <w:p w:rsidR="00000000" w:rsidDel="00000000" w:rsidP="00000000" w:rsidRDefault="00000000" w:rsidRPr="00000000" w14:paraId="0000001E">
      <w:pPr>
        <w:spacing w:line="240" w:lineRule="auto"/>
        <w:ind w:left="1440" w:firstLine="0"/>
        <w:rPr>
          <w:rFonts w:ascii="Times New Roman" w:cs="Times New Roman" w:eastAsia="Times New Roman" w:hAnsi="Times New Roman"/>
          <w:sz w:val="16"/>
          <w:szCs w:val="16"/>
        </w:rPr>
      </w:pPr>
      <w:r w:rsidDel="00000000" w:rsidR="00000000" w:rsidRPr="00000000">
        <w:rPr>
          <w:rtl w:val="0"/>
        </w:rPr>
      </w:r>
    </w:p>
    <w:tbl>
      <w:tblPr>
        <w:tblStyle w:val="Table1"/>
        <w:tblW w:w="12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40"/>
        <w:gridCol w:w="2820"/>
        <w:gridCol w:w="2580"/>
        <w:gridCol w:w="2580"/>
        <w:tblGridChange w:id="0">
          <w:tblGrid>
            <w:gridCol w:w="1380"/>
            <w:gridCol w:w="3540"/>
            <w:gridCol w:w="2820"/>
            <w:gridCol w:w="2580"/>
            <w:gridCol w:w="25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F">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Exceeding Expectations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Meeting Expectations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Approaching Expectations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Below Expectations </w:t>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16"/>
                <w:szCs w:val="16"/>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Depth and Clarity of Unit Context and Description</w:t>
            </w:r>
          </w:p>
          <w:p w:rsidR="00000000" w:rsidDel="00000000" w:rsidP="00000000" w:rsidRDefault="00000000" w:rsidRPr="00000000" w14:paraId="00000026">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27">
            <w:pPr>
              <w:keepNext w:val="1"/>
              <w:keepLines w:val="1"/>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context and description are highly detailed and clear, providing a comprehensive understanding of the students' cultural, political, historical, linguistic, and economic backgrounds. The educational setting is well-defined, and the learning modality is thoughtfully considered. The disciplinary focus is deeply integrated with the learners' realities, and the essential question is articulated with clarity and purpose. The justification thoroughly explains why the inquiry is important for the students, reflecting on their histories, engagement with literacy, and promoting equity.</w:t>
            </w:r>
          </w:p>
        </w:tc>
        <w:tc>
          <w:tcPr>
            <w:tcMar>
              <w:top w:w="100.0" w:type="dxa"/>
              <w:left w:w="100.0" w:type="dxa"/>
              <w:bottom w:w="100.0" w:type="dxa"/>
              <w:right w:w="100.0" w:type="dxa"/>
            </w:tcMar>
            <w:vAlign w:val="top"/>
          </w:tcPr>
          <w:p w:rsidR="00000000" w:rsidDel="00000000" w:rsidP="00000000" w:rsidRDefault="00000000" w:rsidRPr="00000000" w14:paraId="00000028">
            <w:pPr>
              <w:keepNext w:val="1"/>
              <w:keepLines w:val="1"/>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context and description provide clear and sufficient details about the students' backgrounds and the educational setting. The disciplinary focus is defined and connects well with the students' needs. The essential question is clear, and the justification explains the importance of the inquiry.</w:t>
            </w:r>
          </w:p>
        </w:tc>
        <w:tc>
          <w:tcPr>
            <w:tcMar>
              <w:top w:w="100.0" w:type="dxa"/>
              <w:left w:w="100.0" w:type="dxa"/>
              <w:bottom w:w="100.0" w:type="dxa"/>
              <w:right w:w="100.0" w:type="dxa"/>
            </w:tcMar>
            <w:vAlign w:val="top"/>
          </w:tcPr>
          <w:p w:rsidR="00000000" w:rsidDel="00000000" w:rsidP="00000000" w:rsidRDefault="00000000" w:rsidRPr="00000000" w14:paraId="00000029">
            <w:pPr>
              <w:keepNext w:val="1"/>
              <w:keepLines w:val="1"/>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The unit context and description lack sufficient depth or clarity in explaining the students' backgrounds or the educational setting. The disciplinary focus is only somewhat connected to the learners' needs. The essential question is present but may lack precision, and the justification is limited, with minimal explanation of how the unit engages students or promotes equity or some details may lack depth or thorough explanation of how the unit promotes equity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keepNext w:val="1"/>
              <w:keepLines w:val="1"/>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context and description are vague or unclear, offering minimal information about the students' backgrounds or the educational setting. The disciplinary focus is not well-aligned with the learners’ needs. The essential question is unclear, and the justification is underdeveloped or fails to address how the unit fosters engagement or equity.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Identity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deeply engages students in exploring and expressing their identities. Lessons incorporate diverse perspectives, student agency, and self-expression.</w:t>
            </w:r>
          </w:p>
        </w:tc>
        <w:tc>
          <w:tcPr>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supports identity exploration and incorporates opportunities for self-expression.</w:t>
            </w:r>
          </w:p>
        </w:tc>
        <w:tc>
          <w:tcPr>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addresses identity but offers limited opportunities for students to explore or express their own identities or depth may be limited.</w:t>
            </w:r>
          </w:p>
          <w:p w:rsidR="00000000" w:rsidDel="00000000" w:rsidP="00000000" w:rsidRDefault="00000000" w:rsidRPr="00000000" w14:paraId="0000002F">
            <w:pPr>
              <w:spacing w:line="240" w:lineRule="auto"/>
              <w:rPr>
                <w:rFonts w:ascii="Times New Roman" w:cs="Times New Roman" w:eastAsia="Times New Roman" w:hAnsi="Times New Roman"/>
                <w:sz w:val="16"/>
                <w:szCs w:val="1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minimally or inadequately addresses student identity.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Skills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effectively builds essential literacy skills, ensuring students develop both foundational and higher-order skills with clear, purposeful activities.</w:t>
            </w:r>
          </w:p>
        </w:tc>
        <w:tc>
          <w:tcPr>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builds key literacy skills, with clear objectives and activities to support skill development.</w:t>
            </w:r>
          </w:p>
        </w:tc>
        <w:tc>
          <w:tcPr>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touches on skill-building but lacks clear objectives or activities to ensure skill development.</w:t>
            </w:r>
          </w:p>
        </w:tc>
        <w:tc>
          <w:tcPr>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fails to effectively build or address literacy skills.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Intellect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challenges students intellectually, engaging them with complex concepts, ideas, and texts that deepen their understanding and knowledge.</w:t>
            </w:r>
          </w:p>
        </w:tc>
        <w:tc>
          <w:tcPr>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supports intellectual growth, engaging students with relevant concepts and texts that develop their knowledge.</w:t>
            </w:r>
          </w:p>
        </w:tc>
        <w:tc>
          <w:tcPr>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introduces some complex ideas, but intellectual engagement may be surface-level or inconsistent.</w:t>
            </w:r>
          </w:p>
        </w:tc>
        <w:tc>
          <w:tcPr>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offers little to no intellectual challenge for students.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Criticality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meaningfully engages students in critical thinking about power, equity, and social justice. Students are encouraged to question and challenge societal norms.</w:t>
            </w:r>
          </w:p>
        </w:tc>
        <w:tc>
          <w:tcPr>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addresses criticality, prompting students to think about power and social justice.</w:t>
            </w:r>
          </w:p>
        </w:tc>
        <w:tc>
          <w:tcPr>
            <w:tcMar>
              <w:top w:w="100.0" w:type="dxa"/>
              <w:left w:w="100.0" w:type="dxa"/>
              <w:bottom w:w="100.0" w:type="dxa"/>
              <w:right w:w="100.0"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touches on criticality but lacks consistent engagement with power, equity, or social justice issues.</w:t>
            </w:r>
          </w:p>
        </w:tc>
        <w:tc>
          <w:tcPr>
            <w:tcMar>
              <w:top w:w="100.0" w:type="dxa"/>
              <w:left w:w="100.0" w:type="dxa"/>
              <w:bottom w:w="100.0" w:type="dxa"/>
              <w:right w:w="100.0" w:type="dxa"/>
            </w:tcMar>
            <w:vAlign w:val="top"/>
          </w:tcPr>
          <w:p w:rsidR="00000000" w:rsidDel="00000000" w:rsidP="00000000" w:rsidRDefault="00000000" w:rsidRPr="00000000" w14:paraId="0000003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does not adequately engage students in critical thinking.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Joy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effectively incorporates joy, love, and aesthetic fulfillment. Lessons foster creativity, curiosity, and passion for learning.</w:t>
            </w:r>
          </w:p>
        </w:tc>
        <w:tc>
          <w:tcPr>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incorporates joy and engagement in a clearly articulated manner.</w:t>
            </w:r>
          </w:p>
        </w:tc>
        <w:tc>
          <w:tcPr>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includes some moments of joy or creativity, but these are not central to the learning experience or opportunities for creativity and fulfillment may be limited.</w:t>
            </w:r>
          </w:p>
          <w:p w:rsidR="00000000" w:rsidDel="00000000" w:rsidP="00000000" w:rsidRDefault="00000000" w:rsidRPr="00000000" w14:paraId="00000044">
            <w:pPr>
              <w:spacing w:line="240" w:lineRule="auto"/>
              <w:rPr>
                <w:rFonts w:ascii="Times New Roman" w:cs="Times New Roman" w:eastAsia="Times New Roman" w:hAnsi="Times New Roman"/>
                <w:sz w:val="16"/>
                <w:szCs w:val="1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lacks engagement or fails to incorporate elements of joy.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Lesson Plan Coherence &amp; Engagement 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Lessons are well-structured, coherent, and engaging. The learning activities align with objectives, and students are meaningfully involved throughout the unit.</w:t>
            </w:r>
          </w:p>
        </w:tc>
        <w:tc>
          <w:tcPr>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Lessons are organized and aligned with objectives. Students have multiple modes to be  engaged.</w:t>
            </w:r>
          </w:p>
        </w:tc>
        <w:tc>
          <w:tcP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Lessons are somewhat organized but may lack coherence or alignment with objectives. Engagement may be inconsistent or some activities may lack depth/ opportunity for engagement.</w:t>
            </w:r>
          </w:p>
        </w:tc>
        <w:tc>
          <w:tcPr>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Lessons are disorganized, lack engagement, or do not align with objectives.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Sample Assignment 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sample assignment is thoughtful, detailed, and provides a strong model for students. It reflects deep empathy and realistic expectations for learners.</w:t>
            </w:r>
          </w:p>
        </w:tc>
        <w:tc>
          <w:tcP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sample assignment is clear and demonstrates reasonable expectations.</w:t>
            </w:r>
          </w:p>
        </w:tc>
        <w:tc>
          <w:tcP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sample assignment is underdeveloped and provides limited guidance for students or  may lack detail or depth.</w:t>
            </w:r>
          </w:p>
        </w:tc>
        <w:tc>
          <w:tcP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sample assignment is incomplete or does not offer a helpful model.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Reflection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reflection is highly insightful and demonstrates deep personal and professional growth. It thoughtfully connects Muhammad’s framework, course concepts, and future teaching.</w:t>
            </w:r>
          </w:p>
        </w:tc>
        <w:tc>
          <w:tcP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reflection is thoughtful and demonstrates professional growth. Connections to Muhammad’s framework and teaching are clear.</w:t>
            </w:r>
          </w:p>
        </w:tc>
        <w:tc>
          <w:tcP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reflection touches on personal and professional growth but lacks depth or strong connections to course concepts may vary.</w:t>
            </w:r>
          </w:p>
        </w:tc>
        <w:tc>
          <w:tcP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reflection is superficial or fails to connect to the course concepts.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In class presentation 5 pts </w:t>
            </w:r>
          </w:p>
        </w:tc>
        <w:tc>
          <w:tcP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sz w:val="16"/>
                <w:szCs w:val="1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Class presentation had a structure / used template </w:t>
            </w:r>
          </w:p>
        </w:tc>
        <w:tc>
          <w:tcP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sz w:val="16"/>
                <w:szCs w:val="1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in class presentation did not have a structure / did not utilize template/ Did not present </w:t>
            </w:r>
          </w:p>
        </w:tc>
      </w:tr>
    </w:tbl>
    <w:p w:rsidR="00000000" w:rsidDel="00000000" w:rsidP="00000000" w:rsidRDefault="00000000" w:rsidRPr="00000000" w14:paraId="0000005A">
      <w:pPr>
        <w:spacing w:after="0" w:before="0" w:line="240" w:lineRule="auto"/>
        <w:ind w:left="144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18"/>
          <w:szCs w:val="18"/>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henTEMeJfQ4fT2Pga2FyVlbYW9GKo_hm?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