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7b87856d7d106354b73caf8a2aa63787cda7224"/>
    <w:p>
      <w:pPr>
        <w:pStyle w:val="Heading1"/>
      </w:pPr>
      <w:r>
        <w:t xml:space="preserve">Comprehensive Analysis of Paper Change Requests (Dan’s Comments)</w:t>
      </w:r>
    </w:p>
    <w:p>
      <w:pPr>
        <w:pStyle w:val="FirstParagraph"/>
      </w:pPr>
      <w:r>
        <w:t xml:space="preserve">This analysis reviews the paper‐change tracker for</w:t>
      </w:r>
      <w:r>
        <w:t xml:space="preserve"> </w:t>
      </w:r>
      <w:r>
        <w:rPr>
          <w:b/>
          <w:bCs/>
        </w:rPr>
        <w:t xml:space="preserve">QuantumFaultTolerant</w:t>
      </w:r>
      <w:r>
        <w:t xml:space="preserve"> </w:t>
      </w:r>
      <w:r>
        <w:t xml:space="preserve">and, using it as a base, proposes concrete tasks that address advisor Dan’s comments. Each comment or change request is summarised, followed by an</w:t>
      </w:r>
      <w:r>
        <w:t xml:space="preserve"> </w:t>
      </w:r>
      <w:r>
        <w:rPr>
          <w:b/>
          <w:bCs/>
        </w:rPr>
        <w:t xml:space="preserve">Issue</w:t>
      </w:r>
      <w:r>
        <w:t xml:space="preserve"> </w:t>
      </w:r>
      <w:r>
        <w:t xml:space="preserve">description, proposed</w:t>
      </w:r>
      <w:r>
        <w:t xml:space="preserve"> </w:t>
      </w:r>
      <w:r>
        <w:rPr>
          <w:b/>
          <w:bCs/>
        </w:rPr>
        <w:t xml:space="preserve">Fix</w:t>
      </w:r>
      <w:r>
        <w:t xml:space="preserve">, and, where appropriate, a draft insertion in LaTeX. Where possible, the suggestions follow the structure used in the existing tracker (</w:t>
      </w:r>
      <w:r>
        <w:rPr>
          <w:rStyle w:val="VerbatimChar"/>
        </w:rPr>
        <w:t xml:space="preserve">P‑001</w:t>
      </w:r>
      <w:r>
        <w:t xml:space="preserve">–</w:t>
      </w:r>
      <w:r>
        <w:rPr>
          <w:rStyle w:val="VerbatimChar"/>
        </w:rPr>
        <w:t xml:space="preserve">P‑005</w:t>
      </w:r>
      <w:r>
        <w:t xml:space="preserve">) with rationale for reviewers. Citations back to the tracker and manuscript are provided for traceability.</w:t>
      </w:r>
    </w:p>
    <w:bookmarkStart w:id="24" w:name="current-queue-from-paper-comments"/>
    <w:p>
      <w:pPr>
        <w:pStyle w:val="Heading2"/>
      </w:pPr>
      <w:r>
        <w:t xml:space="preserve">Current Queue (from Paper Comments)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Comment / Issue</w:t>
            </w:r>
          </w:p>
        </w:tc>
        <w:tc>
          <w:tcPr/>
          <w:p>
            <w:pPr>
              <w:pStyle w:val="Compact"/>
            </w:pPr>
            <w:r>
              <w:t xml:space="preserve">Observations</w:t>
            </w:r>
          </w:p>
        </w:tc>
        <w:tc>
          <w:tcPr/>
          <w:p>
            <w:pPr>
              <w:pStyle w:val="Compact"/>
            </w:pPr>
            <w:r>
              <w:t xml:space="preserve">Improved Fix</w:t>
            </w:r>
          </w:p>
        </w:tc>
      </w:tr>
      <w:tr>
        <w:tc>
          <w:tcPr/>
          <w:p>
            <w:pPr>
              <w:pStyle w:val="Compact"/>
            </w:pPr>
            <w:r>
              <w:rPr>
                <w:b/>
                <w:bCs/>
              </w:rPr>
              <w:t xml:space="preserve">C‑001</w:t>
            </w:r>
          </w:p>
        </w:tc>
        <w:tc>
          <w:tcPr/>
          <w:p>
            <w:pPr>
              <w:pStyle w:val="Compact"/>
            </w:pPr>
            <w:r>
              <w:rPr>
                <w:b/>
                <w:bCs/>
              </w:rPr>
              <w:t xml:space="preserve">Clarify novelty vs evaluation</w:t>
            </w:r>
            <w:r>
              <w:t xml:space="preserve">. The abstract needs to make clear whether the paper introduces a new algorithm or provides an evaluation-only contribution.</w:t>
            </w:r>
          </w:p>
        </w:tc>
        <w:tc>
          <w:tcPr/>
          <w:p>
            <w:pPr>
              <w:pStyle w:val="Compact"/>
            </w:pPr>
            <w:r>
              <w:t xml:space="preserve">The manuscript currently describes a robust evaluation framework but does not explicitly frame it as such in the abstract. The tracker suggests adding explicit novelty framing around the benchmark, threat taxonomy, capacity paradox and deployment rules</w:t>
            </w:r>
            <w:r>
              <w:t xml:space="preserve"> </w:t>
            </w:r>
            <w:hyperlink r:id="rId21">
              <w:r>
                <w:rPr>
                  <w:rStyle w:val="Hyperlink"/>
                </w:rPr>
                <w:t xml:space="preserve">[1]</w:t>
              </w:r>
            </w:hyperlink>
            <w:r>
              <w:t xml:space="preserve">.</w:t>
            </w:r>
          </w:p>
        </w:tc>
        <w:tc>
          <w:tcPr/>
          <w:p>
            <w:pPr>
              <w:pStyle w:val="Compact"/>
            </w:pPr>
            <w:r>
              <w:t xml:space="preserve">Explicitly state in the abstract that the contribution is a</w:t>
            </w:r>
            <w:r>
              <w:t xml:space="preserve"> </w:t>
            </w:r>
            <w:r>
              <w:rPr>
                <w:b/>
                <w:bCs/>
              </w:rPr>
              <w:t xml:space="preserve">methodological benchmark</w:t>
            </w:r>
            <w:r>
              <w:t xml:space="preserve">. Highlight the unified threat taxonomy, evaluation grid across algorithms–allocators–capacity semantics, and the discovery of the capacity paradox. A short sentence clarifying that no new bandit variant is proposed will prevent confusion. See</w:t>
            </w:r>
            <w:r>
              <w:t xml:space="preserve"> </w:t>
            </w:r>
            <w:r>
              <w:rPr>
                <w:b/>
                <w:bCs/>
              </w:rPr>
              <w:t xml:space="preserve">P‑006</w:t>
            </w:r>
            <w:r>
              <w:t xml:space="preserve"> </w:t>
            </w:r>
            <w:r>
              <w:t xml:space="preserve">below.</w:t>
            </w:r>
          </w:p>
        </w:tc>
      </w:tr>
      <w:tr>
        <w:tc>
          <w:tcPr/>
          <w:p>
            <w:pPr>
              <w:pStyle w:val="Compact"/>
            </w:pPr>
            <w:r>
              <w:rPr>
                <w:b/>
                <w:bCs/>
              </w:rPr>
              <w:t xml:space="preserve">C‑002</w:t>
            </w:r>
          </w:p>
        </w:tc>
        <w:tc>
          <w:tcPr/>
          <w:p>
            <w:pPr>
              <w:pStyle w:val="Compact"/>
            </w:pPr>
            <w:r>
              <w:rPr>
                <w:b/>
                <w:bCs/>
              </w:rPr>
              <w:t xml:space="preserve">Rewrite introduction flow</w:t>
            </w:r>
            <w:r>
              <w:t xml:space="preserve">. The introduction’s TODOs and narrative flow need cleanup and improved storytelling.</w:t>
            </w:r>
          </w:p>
        </w:tc>
        <w:tc>
          <w:tcPr/>
          <w:p>
            <w:pPr>
              <w:pStyle w:val="Compact"/>
            </w:pPr>
            <w:r>
              <w:t xml:space="preserve">The introduction presently jumps between motivation, problem statement and evaluation gaps. A coherent flow—</w:t>
            </w:r>
            <w:r>
              <w:rPr>
                <w:i/>
                <w:iCs/>
              </w:rPr>
              <w:t xml:space="preserve">problem → gap → approach → contributions</w:t>
            </w:r>
            <w:r>
              <w:t xml:space="preserve">—will help the reader.</w:t>
            </w:r>
          </w:p>
        </w:tc>
        <w:tc>
          <w:tcPr/>
          <w:p>
            <w:pPr>
              <w:pStyle w:val="Compact"/>
            </w:pPr>
            <w:r>
              <w:t xml:space="preserve">Restructure the introduction into paragraphs that (i) state the problem of quantum entanglement routing and its unique challenges, (ii) summarise the gap in prior work (heterogeneous assumptions hinder comparisons), (iii) outline the proposed evaluation framework and threat taxonomy, and (iv) summarise contributions. This can be implemented during the next revision without requiring a new P‑code, but a planning item (</w:t>
            </w:r>
            <w:r>
              <w:rPr>
                <w:b/>
                <w:bCs/>
              </w:rPr>
              <w:t xml:space="preserve">P‑007</w:t>
            </w:r>
            <w:r>
              <w:t xml:space="preserve">) is provided below.</w:t>
            </w:r>
          </w:p>
        </w:tc>
      </w:tr>
      <w:tr>
        <w:tc>
          <w:tcPr/>
          <w:p>
            <w:pPr>
              <w:pStyle w:val="Compact"/>
            </w:pPr>
            <w:r>
              <w:rPr>
                <w:b/>
                <w:bCs/>
              </w:rPr>
              <w:t xml:space="preserve">C‑003</w:t>
            </w:r>
          </w:p>
        </w:tc>
        <w:tc>
          <w:tcPr/>
          <w:p>
            <w:pPr>
              <w:pStyle w:val="Compact"/>
            </w:pPr>
            <w:r>
              <w:rPr>
                <w:b/>
                <w:bCs/>
              </w:rPr>
              <w:t xml:space="preserve">Paper attribution audit</w:t>
            </w:r>
            <w:r>
              <w:t xml:space="preserve">. Dan requested that the related-work section explicitly compare the paper against existing works, not just processes.</w:t>
            </w:r>
          </w:p>
        </w:tc>
        <w:tc>
          <w:tcPr/>
          <w:p>
            <w:pPr>
              <w:pStyle w:val="Compact"/>
            </w:pPr>
            <w:r>
              <w:t xml:space="preserve">The tracker already contains a detailed audit and proposes insertions for Huang et al., LinkSelFiE and other related papers</w:t>
            </w:r>
            <w:r>
              <w:t xml:space="preserve"> </w:t>
            </w:r>
            <w:hyperlink r:id="rId22">
              <w:r>
                <w:rPr>
                  <w:rStyle w:val="Hyperlink"/>
                </w:rPr>
                <w:t xml:space="preserve">[2]</w:t>
              </w:r>
            </w:hyperlink>
            <w:r>
              <w:t xml:space="preserve">. Four proposed edits (P‑001–P‑004) address the missing citations and comparisons.</w:t>
            </w:r>
          </w:p>
        </w:tc>
        <w:tc>
          <w:tcPr/>
          <w:p>
            <w:pPr>
              <w:pStyle w:val="Compact"/>
            </w:pPr>
            <w:r>
              <w:t xml:space="preserve">Adopt P‑001–P‑004 but extend them slightly to ensure that</w:t>
            </w:r>
            <w:r>
              <w:t xml:space="preserve"> </w:t>
            </w:r>
            <w:r>
              <w:rPr>
                <w:i/>
                <w:iCs/>
              </w:rPr>
              <w:t xml:space="preserve">all</w:t>
            </w:r>
            <w:r>
              <w:t xml:space="preserve"> </w:t>
            </w:r>
            <w:r>
              <w:t xml:space="preserve">high‑relevance quantum routing papers from the comparison checklist are mentioned. For medium‑ and low‑relevance works, a concise group sentence is sufficient. See</w:t>
            </w:r>
            <w:r>
              <w:t xml:space="preserve"> </w:t>
            </w:r>
            <w:r>
              <w:rPr>
                <w:b/>
                <w:bCs/>
              </w:rPr>
              <w:t xml:space="preserve">P‑003</w:t>
            </w:r>
            <w:r>
              <w:t xml:space="preserve"> </w:t>
            </w:r>
            <w:r>
              <w:t xml:space="preserve">and</w:t>
            </w:r>
            <w:r>
              <w:t xml:space="preserve"> </w:t>
            </w:r>
            <w:r>
              <w:rPr>
                <w:b/>
                <w:bCs/>
              </w:rPr>
              <w:t xml:space="preserve">P‑004</w:t>
            </w:r>
            <w:r>
              <w:t xml:space="preserve"> </w:t>
            </w:r>
            <w:r>
              <w:t xml:space="preserve">below.</w:t>
            </w:r>
          </w:p>
        </w:tc>
      </w:tr>
      <w:tr>
        <w:tc>
          <w:tcPr/>
          <w:p>
            <w:pPr>
              <w:pStyle w:val="Compact"/>
            </w:pPr>
            <w:r>
              <w:rPr>
                <w:b/>
                <w:bCs/>
              </w:rPr>
              <w:t xml:space="preserve">C‑004</w:t>
            </w:r>
          </w:p>
        </w:tc>
        <w:tc>
          <w:tcPr/>
          <w:p>
            <w:pPr>
              <w:pStyle w:val="Compact"/>
            </w:pPr>
            <w:r>
              <w:rPr>
                <w:b/>
                <w:bCs/>
              </w:rPr>
              <w:t xml:space="preserve">Improve Results section continuity; organise by research questions (RQs)</w:t>
            </w:r>
            <w:r>
              <w:t xml:space="preserve">.</w:t>
            </w:r>
          </w:p>
        </w:tc>
        <w:tc>
          <w:tcPr/>
          <w:p>
            <w:pPr>
              <w:pStyle w:val="Compact"/>
            </w:pPr>
            <w:r>
              <w:t xml:space="preserve">The Results section contains RQ sub‑sections (</w:t>
            </w:r>
            <w:r>
              <w:rPr>
                <w:i/>
                <w:iCs/>
              </w:rPr>
              <w:t xml:space="preserve">RQ1, RQ2, RQ3</w:t>
            </w:r>
            <w:r>
              <w:t xml:space="preserve">) but the narrative can be disjointed, with long tables preceding the takeaway. The tracker proposes adding a short “RQ claim → evidence → takeaway” scaffold per subsection.</w:t>
            </w:r>
          </w:p>
        </w:tc>
        <w:tc>
          <w:tcPr/>
          <w:p>
            <w:pPr>
              <w:pStyle w:val="Compact"/>
            </w:pPr>
            <w:r>
              <w:t xml:space="preserve">For each RQ sub‑section, include a brief preview paragraph that states the claim/hypothesis, summarises key evidence (e.g., performance ranges or tables), and ends with a one‑sentence takeaway. These scaffolds can be added as part of</w:t>
            </w:r>
            <w:r>
              <w:t xml:space="preserve"> </w:t>
            </w:r>
            <w:r>
              <w:rPr>
                <w:b/>
                <w:bCs/>
              </w:rPr>
              <w:t xml:space="preserve">P‑008</w:t>
            </w:r>
            <w:r>
              <w:t xml:space="preserve">.</w:t>
            </w:r>
          </w:p>
        </w:tc>
      </w:tr>
      <w:tr>
        <w:tc>
          <w:tcPr/>
          <w:p>
            <w:pPr>
              <w:pStyle w:val="Compact"/>
            </w:pPr>
            <w:r>
              <w:rPr>
                <w:b/>
                <w:bCs/>
              </w:rPr>
              <w:t xml:space="preserve">C‑005</w:t>
            </w:r>
          </w:p>
        </w:tc>
        <w:tc>
          <w:tcPr/>
          <w:p>
            <w:pPr>
              <w:pStyle w:val="Compact"/>
            </w:pPr>
            <w:r>
              <w:rPr>
                <w:b/>
                <w:bCs/>
              </w:rPr>
              <w:t xml:space="preserve">Resolve duplication notes in Limitations/Future Work</w:t>
            </w:r>
            <w:r>
              <w:t xml:space="preserve">. Duplicate commented blocks exist in</w:t>
            </w:r>
            <w:r>
              <w:t xml:space="preserve"> </w:t>
            </w:r>
            <w:r>
              <w:rPr>
                <w:rStyle w:val="VerbatimChar"/>
              </w:rPr>
              <w:t xml:space="preserve">main.tex</w:t>
            </w:r>
            <w:r>
              <w:t xml:space="preserve">.</w:t>
            </w:r>
          </w:p>
        </w:tc>
        <w:tc>
          <w:tcPr/>
          <w:p>
            <w:pPr>
              <w:pStyle w:val="Compact"/>
            </w:pPr>
            <w:r>
              <w:t xml:space="preserve">Lines 3297–3351 contain repeated paragraphs of the Limitations section within commented blocks</w:t>
            </w:r>
            <w:r>
              <w:t xml:space="preserve"> </w:t>
            </w:r>
            <w:hyperlink r:id="rId23">
              <w:r>
                <w:rPr>
                  <w:rStyle w:val="Hyperlink"/>
                </w:rPr>
                <w:t xml:space="preserve">[3]</w:t>
              </w:r>
            </w:hyperlink>
            <w:r>
              <w:t xml:space="preserve">. These duplicates were previously commented out but remain in the file.</w:t>
            </w:r>
          </w:p>
        </w:tc>
        <w:tc>
          <w:tcPr/>
          <w:p>
            <w:pPr>
              <w:pStyle w:val="Compact"/>
            </w:pPr>
            <w:r>
              <w:t xml:space="preserve">Remove the commented duplicate paragraphs to avoid confusion and emphasise only the cleaned Limitations section. Add a note in the tracker once the duplicates are removed. See</w:t>
            </w:r>
            <w:r>
              <w:t xml:space="preserve"> </w:t>
            </w:r>
            <w:r>
              <w:rPr>
                <w:b/>
                <w:bCs/>
              </w:rPr>
              <w:t xml:space="preserve">P‑009</w:t>
            </w:r>
            <w:r>
              <w:t xml:space="preserve"> </w:t>
            </w:r>
            <w:r>
              <w:t xml:space="preserve">below.</w:t>
            </w:r>
          </w:p>
        </w:tc>
      </w:tr>
      <w:tr>
        <w:tc>
          <w:tcPr/>
          <w:p>
            <w:pPr>
              <w:pStyle w:val="Compact"/>
            </w:pPr>
            <w:r>
              <w:rPr>
                <w:b/>
                <w:bCs/>
              </w:rPr>
              <w:t xml:space="preserve">C‑006</w:t>
            </w:r>
          </w:p>
        </w:tc>
        <w:tc>
          <w:tcPr/>
          <w:p>
            <w:pPr>
              <w:pStyle w:val="Compact"/>
            </w:pPr>
            <w:r>
              <w:rPr>
                <w:b/>
                <w:bCs/>
              </w:rPr>
              <w:t xml:space="preserve">Decide anonymity and acknowledgements</w:t>
            </w:r>
            <w:r>
              <w:t xml:space="preserve">.</w:t>
            </w:r>
          </w:p>
        </w:tc>
        <w:tc>
          <w:tcPr/>
          <w:p>
            <w:pPr>
              <w:pStyle w:val="Compact"/>
            </w:pPr>
            <w:r>
              <w:t xml:space="preserve">The tracker notes this is a submission hygiene issue. Deciding between anonymous vs non‑anonymous submission affects the author list and acknowledgements.</w:t>
            </w:r>
          </w:p>
        </w:tc>
        <w:tc>
          <w:tcPr/>
          <w:p>
            <w:pPr>
              <w:pStyle w:val="Compact"/>
            </w:pPr>
            <w:r>
              <w:t xml:space="preserve">Confirm the target venue’s anonymity requirements. If anonymous, redact author names and acknowledgements in the PDF; otherwise include them. Document the decision in the tracker once finalised.</w:t>
            </w:r>
          </w:p>
        </w:tc>
      </w:tr>
    </w:tbl>
    <w:bookmarkEnd w:id="24"/>
    <w:bookmarkStart w:id="26" w:name="Xc81eae05d882882f989e22eb0e85e73803eb8e0"/>
    <w:p>
      <w:pPr>
        <w:pStyle w:val="Heading2"/>
      </w:pPr>
      <w:r>
        <w:t xml:space="preserve">Communication‑Driven Queue (Advisor Dan’s Requests)</w:t>
      </w:r>
    </w:p>
    <w:p>
      <w:pPr>
        <w:pStyle w:val="FirstParagraph"/>
      </w:pPr>
      <w:r>
        <w:t xml:space="preserve">Dan’s comments (D‑001–D‑010) often map onto multiple tasks. Some overlap with C‑items (particularly C‑003). The following analysis summarises each request and proposes updated or new tasks.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Request (paraphrased)</w:t>
            </w:r>
          </w:p>
        </w:tc>
        <w:tc>
          <w:tcPr/>
          <w:p>
            <w:pPr>
              <w:pStyle w:val="Compact"/>
            </w:pPr>
            <w:r>
              <w:t xml:space="preserve">Analysis and Proposed Action</w:t>
            </w:r>
          </w:p>
        </w:tc>
      </w:tr>
      <w:tr>
        <w:tc>
          <w:tcPr/>
          <w:p>
            <w:pPr>
              <w:pStyle w:val="Compact"/>
            </w:pPr>
            <w:r>
              <w:rPr>
                <w:b/>
                <w:bCs/>
              </w:rPr>
              <w:t xml:space="preserve">D‑001</w:t>
            </w:r>
          </w:p>
        </w:tc>
        <w:tc>
          <w:tcPr/>
          <w:p>
            <w:pPr>
              <w:pStyle w:val="Compact"/>
            </w:pPr>
            <w:r>
              <w:rPr>
                <w:b/>
                <w:bCs/>
              </w:rPr>
              <w:t xml:space="preserve">Add a 2–3 sentence overview of the proposed process (no results) in the abstract and introduction.</w:t>
            </w:r>
          </w:p>
        </w:tc>
        <w:tc>
          <w:tcPr/>
          <w:p>
            <w:pPr>
              <w:pStyle w:val="Compact"/>
            </w:pPr>
            <w:r>
              <w:t xml:space="preserve">The abstract currently emphasises results and the capacity paradox but does not succinctly describe the evaluation process. Add a 2–3‑sentence summary highlighting the evaluation pipeline: the unified threat taxonomy, algorithm families (EXP‑family, CMAB/iCMAB, pursuit–neural hybrids), allocators, replay/capacity settings and cross‑testbed validations. This summary should be placed at the end of the abstract and in the early part of the introduction. See</w:t>
            </w:r>
            <w:r>
              <w:t xml:space="preserve"> </w:t>
            </w:r>
            <w:r>
              <w:rPr>
                <w:b/>
                <w:bCs/>
              </w:rPr>
              <w:t xml:space="preserve">P‑006</w:t>
            </w:r>
            <w:r>
              <w:t xml:space="preserve"> </w:t>
            </w:r>
            <w:r>
              <w:t xml:space="preserve">below.</w:t>
            </w:r>
          </w:p>
        </w:tc>
      </w:tr>
      <w:tr>
        <w:tc>
          <w:tcPr/>
          <w:p>
            <w:pPr>
              <w:pStyle w:val="Compact"/>
            </w:pPr>
            <w:r>
              <w:rPr>
                <w:b/>
                <w:bCs/>
              </w:rPr>
              <w:t xml:space="preserve">D‑002</w:t>
            </w:r>
          </w:p>
        </w:tc>
        <w:tc>
          <w:tcPr/>
          <w:p>
            <w:pPr>
              <w:pStyle w:val="Compact"/>
            </w:pPr>
            <w:r>
              <w:rPr>
                <w:b/>
                <w:bCs/>
              </w:rPr>
              <w:t xml:space="preserve">Provide a short contrast versus closest multi‑armed bandit (MAB) routing works.</w:t>
            </w:r>
          </w:p>
        </w:tc>
        <w:tc>
          <w:tcPr/>
          <w:p>
            <w:pPr>
              <w:pStyle w:val="Compact"/>
            </w:pPr>
            <w:r>
              <w:t xml:space="preserve">This request overlaps with C‑003 and is handled by P‑001–P‑004. Ensure the related‑work section succinctly contrasts our evaluation framework against the most relevant MAB routing papers (Huang et al., LinkSelFiE, Wang et al., and Chaudhary et al.). Where appropriate, emphasise differences such as link‑level vs path‑level problems, adversarial vs stochastic objectives, and evaluation methodology. If space allows, include a comparison table (see</w:t>
            </w:r>
            <w:r>
              <w:t xml:space="preserve"> </w:t>
            </w:r>
            <w:r>
              <w:rPr>
                <w:b/>
                <w:bCs/>
              </w:rPr>
              <w:t xml:space="preserve">P‑010</w:t>
            </w:r>
            <w:r>
              <w:t xml:space="preserve">).</w:t>
            </w:r>
          </w:p>
        </w:tc>
      </w:tr>
      <w:tr>
        <w:tc>
          <w:tcPr/>
          <w:p>
            <w:pPr>
              <w:pStyle w:val="Compact"/>
            </w:pPr>
            <w:r>
              <w:rPr>
                <w:b/>
                <w:bCs/>
              </w:rPr>
              <w:t xml:space="preserve">D‑003</w:t>
            </w:r>
          </w:p>
        </w:tc>
        <w:tc>
          <w:tcPr/>
          <w:p>
            <w:pPr>
              <w:pStyle w:val="Compact"/>
            </w:pPr>
            <w:r>
              <w:rPr>
                <w:b/>
                <w:bCs/>
              </w:rPr>
              <w:t xml:space="preserve">Maintain a single “source of truth” manuscript version.</w:t>
            </w:r>
          </w:p>
        </w:tc>
        <w:tc>
          <w:tcPr/>
          <w:p>
            <w:pPr>
              <w:pStyle w:val="Compact"/>
            </w:pPr>
            <w:r>
              <w:t xml:space="preserve">Already marked as done in the tracker. Ensure that Overleaf or local copies do not diverge. Add a note in the tracker clarifying that all updates should occur in</w:t>
            </w:r>
            <w:r>
              <w:t xml:space="preserve"> </w:t>
            </w:r>
            <w:r>
              <w:rPr>
                <w:rStyle w:val="VerbatimChar"/>
              </w:rPr>
              <w:t xml:space="preserve">main.tex</w:t>
            </w:r>
            <w:r>
              <w:t xml:space="preserve"> </w:t>
            </w:r>
            <w:r>
              <w:t xml:space="preserve">and the</w:t>
            </w:r>
            <w:r>
              <w:t xml:space="preserve"> </w:t>
            </w:r>
            <w:r>
              <w:rPr>
                <w:rStyle w:val="VerbatimChar"/>
              </w:rPr>
              <w:t xml:space="preserve">sections/</w:t>
            </w:r>
            <w:r>
              <w:t xml:space="preserve"> </w:t>
            </w:r>
            <w:r>
              <w:t xml:space="preserve">files to avoid forks.</w:t>
            </w:r>
          </w:p>
        </w:tc>
      </w:tr>
      <w:tr>
        <w:tc>
          <w:tcPr/>
          <w:p>
            <w:pPr>
              <w:pStyle w:val="Compact"/>
            </w:pPr>
            <w:r>
              <w:rPr>
                <w:b/>
                <w:bCs/>
              </w:rPr>
              <w:t xml:space="preserve">D‑004</w:t>
            </w:r>
          </w:p>
        </w:tc>
        <w:tc>
          <w:tcPr/>
          <w:p>
            <w:pPr>
              <w:pStyle w:val="Compact"/>
            </w:pPr>
            <w:r>
              <w:rPr>
                <w:b/>
                <w:bCs/>
              </w:rPr>
              <w:t xml:space="preserve">Grant advisor access to condensed Overleaf or provide equivalent local PDF.</w:t>
            </w:r>
          </w:p>
        </w:tc>
        <w:tc>
          <w:tcPr/>
          <w:p>
            <w:pPr>
              <w:pStyle w:val="Compact"/>
            </w:pPr>
            <w:r>
              <w:t xml:space="preserve">This logistical task is not directly addressed in the tracker. Create a checklist item reminding the team to generate a PDF from</w:t>
            </w:r>
            <w:r>
              <w:t xml:space="preserve"> </w:t>
            </w:r>
            <w:r>
              <w:rPr>
                <w:rStyle w:val="VerbatimChar"/>
              </w:rPr>
              <w:t xml:space="preserve">main.tex</w:t>
            </w:r>
            <w:r>
              <w:t xml:space="preserve"> </w:t>
            </w:r>
            <w:r>
              <w:t xml:space="preserve">and share it. The task should also include confirming that the Overleaf or PDF contains the latest updates.</w:t>
            </w:r>
          </w:p>
        </w:tc>
      </w:tr>
      <w:tr>
        <w:tc>
          <w:tcPr/>
          <w:p>
            <w:pPr>
              <w:pStyle w:val="Compact"/>
            </w:pPr>
            <w:r>
              <w:rPr>
                <w:b/>
                <w:bCs/>
              </w:rPr>
              <w:t xml:space="preserve">D‑005</w:t>
            </w:r>
          </w:p>
        </w:tc>
        <w:tc>
          <w:tcPr/>
          <w:p>
            <w:pPr>
              <w:pStyle w:val="Compact"/>
            </w:pPr>
            <w:r>
              <w:rPr>
                <w:b/>
                <w:bCs/>
              </w:rPr>
              <w:t xml:space="preserve">Get the manuscript into a shareable state and address high‑level comments.</w:t>
            </w:r>
          </w:p>
        </w:tc>
        <w:tc>
          <w:tcPr/>
          <w:p>
            <w:pPr>
              <w:pStyle w:val="Compact"/>
            </w:pPr>
            <w:r>
              <w:t xml:space="preserve">This high‑level request encompasses many C‑items and D‑items. Once P‑006–P‑011 (below) are incorporated, compile the PDF, review for formatting issues, remove unresolved TODOs, and ensure high‑level narrative cohesion.</w:t>
            </w:r>
          </w:p>
        </w:tc>
      </w:tr>
      <w:tr>
        <w:tc>
          <w:tcPr/>
          <w:p>
            <w:pPr>
              <w:pStyle w:val="Compact"/>
            </w:pPr>
            <w:r>
              <w:rPr>
                <w:b/>
                <w:bCs/>
              </w:rPr>
              <w:t xml:space="preserve">D‑006</w:t>
            </w:r>
          </w:p>
        </w:tc>
        <w:tc>
          <w:tcPr/>
          <w:p>
            <w:pPr>
              <w:pStyle w:val="Compact"/>
            </w:pPr>
            <w:r>
              <w:rPr>
                <w:b/>
                <w:bCs/>
              </w:rPr>
              <w:t xml:space="preserve">Add ε‑greedy and NeuralUCB results; add an extra comparison table (testbed configs).</w:t>
            </w:r>
          </w:p>
        </w:tc>
        <w:tc>
          <w:tcPr/>
          <w:p>
            <w:pPr>
              <w:pStyle w:val="Compact"/>
            </w:pPr>
            <w:r>
              <w:t xml:space="preserve">Currently, the manuscript includes results for baseline CMAB/iCMAB models and EXP‑family adversarial approaches. NeuralUCB and ε‑greedy results are described in the design section but not always presented in tables. Add a new table summarising the performance of ε‑greedy and NeuralUCB across threat regimes, and update the results narrative accordingly. Also include a comparison table detailing each external testbed’s configuration versus our run configuration (frames, runs, threat scenarios) to aid reproducibility. See</w:t>
            </w:r>
            <w:r>
              <w:t xml:space="preserve"> </w:t>
            </w:r>
            <w:r>
              <w:rPr>
                <w:b/>
                <w:bCs/>
              </w:rPr>
              <w:t xml:space="preserve">P‑011</w:t>
            </w:r>
            <w:r>
              <w:t xml:space="preserve">.</w:t>
            </w:r>
          </w:p>
        </w:tc>
      </w:tr>
      <w:tr>
        <w:tc>
          <w:tcPr/>
          <w:p>
            <w:pPr>
              <w:pStyle w:val="Compact"/>
            </w:pPr>
            <w:r>
              <w:rPr>
                <w:b/>
                <w:bCs/>
              </w:rPr>
              <w:t xml:space="preserve">D‑007</w:t>
            </w:r>
          </w:p>
        </w:tc>
        <w:tc>
          <w:tcPr/>
          <w:p>
            <w:pPr>
              <w:pStyle w:val="Compact"/>
            </w:pPr>
            <w:r>
              <w:rPr>
                <w:b/>
                <w:bCs/>
              </w:rPr>
              <w:t xml:space="preserve">Add Paper 7/12 cross‑testbed comparison tables once jobs finish.</w:t>
            </w:r>
          </w:p>
        </w:tc>
        <w:tc>
          <w:tcPr/>
          <w:p>
            <w:pPr>
              <w:pStyle w:val="Compact"/>
            </w:pPr>
            <w:r>
              <w:t xml:space="preserve">The Limitations section already mentions ongoing cross‑testbed benchmarking</w:t>
            </w:r>
            <w:r>
              <w:t xml:space="preserve"> </w:t>
            </w:r>
            <w:hyperlink r:id="rId25">
              <w:r>
                <w:rPr>
                  <w:rStyle w:val="Hyperlink"/>
                </w:rPr>
                <w:t xml:space="preserve">[4]</w:t>
              </w:r>
            </w:hyperlink>
            <w:r>
              <w:t xml:space="preserve">. Once the results are available, insert a table comparing efficiency across the four external testbeds (Papers 2, 7, 12, and 8) under unified conditions. This can be summarised in the Results section under the cross‑testbed subsection, with a pointer in the Limitations section. See</w:t>
            </w:r>
            <w:r>
              <w:t xml:space="preserve"> </w:t>
            </w:r>
            <w:r>
              <w:rPr>
                <w:b/>
                <w:bCs/>
              </w:rPr>
              <w:t xml:space="preserve">P‑012</w:t>
            </w:r>
            <w:r>
              <w:t xml:space="preserve">.</w:t>
            </w:r>
          </w:p>
        </w:tc>
      </w:tr>
      <w:tr>
        <w:tc>
          <w:tcPr/>
          <w:p>
            <w:pPr>
              <w:pStyle w:val="Compact"/>
            </w:pPr>
            <w:r>
              <w:rPr>
                <w:b/>
                <w:bCs/>
              </w:rPr>
              <w:t xml:space="preserve">D‑008</w:t>
            </w:r>
          </w:p>
        </w:tc>
        <w:tc>
          <w:tcPr/>
          <w:p>
            <w:pPr>
              <w:pStyle w:val="Compact"/>
            </w:pPr>
            <w:r>
              <w:rPr>
                <w:b/>
                <w:bCs/>
              </w:rPr>
              <w:t xml:space="preserve">Integrate Professor Travis’s feedback before submission.</w:t>
            </w:r>
          </w:p>
        </w:tc>
        <w:tc>
          <w:tcPr/>
          <w:p>
            <w:pPr>
              <w:pStyle w:val="Compact"/>
            </w:pPr>
            <w:r>
              <w:t xml:space="preserve">This is currently pending because feedback has not yet been received. Once available, treat each item as an atomic C‑item with its own P‑code, and update the manuscript accordingly.</w:t>
            </w:r>
          </w:p>
        </w:tc>
      </w:tr>
      <w:tr>
        <w:tc>
          <w:tcPr/>
          <w:p>
            <w:pPr>
              <w:pStyle w:val="Compact"/>
            </w:pPr>
            <w:r>
              <w:rPr>
                <w:b/>
                <w:bCs/>
              </w:rPr>
              <w:t xml:space="preserve">D‑009</w:t>
            </w:r>
          </w:p>
        </w:tc>
        <w:tc>
          <w:tcPr/>
          <w:p>
            <w:pPr>
              <w:pStyle w:val="Compact"/>
            </w:pPr>
            <w:r>
              <w:rPr>
                <w:b/>
                <w:bCs/>
              </w:rPr>
              <w:t xml:space="preserve">Add/verify closest‑work citation suggestion (e.g., IEEE 10621263).</w:t>
            </w:r>
          </w:p>
        </w:tc>
        <w:tc>
          <w:tcPr/>
          <w:p>
            <w:pPr>
              <w:pStyle w:val="Compact"/>
            </w:pPr>
            <w:r>
              <w:t xml:space="preserve">This overlaps with C‑003 and is addressed by P‑002. Verify that the LinkSelFiE comparison paragraph is included and that there are no unresolved TODOs for</w:t>
            </w:r>
            <w:r>
              <w:t xml:space="preserve"> </w:t>
            </w:r>
            <w:r>
              <w:rPr>
                <w:rStyle w:val="VerbatimChar"/>
              </w:rPr>
              <w:t xml:space="preserve">10621263</w:t>
            </w:r>
            <w:r>
              <w:t xml:space="preserve"> </w:t>
            </w:r>
            <w:r>
              <w:t xml:space="preserve">in the manuscript.</w:t>
            </w:r>
          </w:p>
        </w:tc>
      </w:tr>
      <w:tr>
        <w:tc>
          <w:tcPr/>
          <w:p>
            <w:pPr>
              <w:pStyle w:val="Compact"/>
            </w:pPr>
            <w:r>
              <w:rPr>
                <w:b/>
                <w:bCs/>
              </w:rPr>
              <w:t xml:space="preserve">D‑010</w:t>
            </w:r>
          </w:p>
        </w:tc>
        <w:tc>
          <w:tcPr/>
          <w:p>
            <w:pPr>
              <w:pStyle w:val="Compact"/>
            </w:pPr>
            <w:r>
              <w:rPr>
                <w:b/>
                <w:bCs/>
              </w:rPr>
              <w:t xml:space="preserve">Confirm venue strategy and submission sprint plan.</w:t>
            </w:r>
          </w:p>
        </w:tc>
        <w:tc>
          <w:tcPr/>
          <w:p>
            <w:pPr>
              <w:pStyle w:val="Compact"/>
            </w:pPr>
            <w:r>
              <w:t xml:space="preserve">Determine whether the target venue is a conference or journal, confirm page limits and anonymity policies, and build a timeline (1–2 weeks) for final edits, internal reviews, and submission. Add this plan to the tracker as a non‑manuscript task.</w:t>
            </w:r>
          </w:p>
        </w:tc>
      </w:tr>
    </w:tbl>
    <w:bookmarkEnd w:id="26"/>
    <w:bookmarkStart w:id="34" w:name="proposed-additional-edits-new-pcodes"/>
    <w:p>
      <w:pPr>
        <w:pStyle w:val="Heading2"/>
      </w:pPr>
      <w:r>
        <w:t xml:space="preserve">Proposed Additional Edits (New P‑codes)</w:t>
      </w:r>
    </w:p>
    <w:p>
      <w:pPr>
        <w:pStyle w:val="FirstParagraph"/>
      </w:pPr>
      <w:r>
        <w:t xml:space="preserve">The following proposed edits build upon the existing P‑001–P‑005 suggestions and directly address Dan’s outstanding concerns. Each entry follows the</w:t>
      </w:r>
      <w:r>
        <w:t xml:space="preserve"> </w:t>
      </w:r>
      <w:r>
        <w:rPr>
          <w:rStyle w:val="VerbatimChar"/>
        </w:rPr>
        <w:t xml:space="preserve">P‑###</w:t>
      </w:r>
      <w:r>
        <w:t xml:space="preserve"> </w:t>
      </w:r>
      <w:r>
        <w:t xml:space="preserve">format used in the tracker.</w:t>
      </w:r>
    </w:p>
    <w:bookmarkStart w:id="27" w:name="Xe5afe01c6c48c3696214b16e1705faadf7fe8ad"/>
    <w:p>
      <w:pPr>
        <w:pStyle w:val="Heading3"/>
      </w:pPr>
      <w:r>
        <w:t xml:space="preserve">P‑006 — Add high‑level process overview to abstract and introduction</w:t>
      </w:r>
    </w:p>
    <w:p>
      <w:pPr>
        <w:pStyle w:val="FirstParagraph"/>
      </w:pPr>
      <w:r>
        <w:rPr>
          <w:b/>
          <w:bCs/>
        </w:rPr>
        <w:t xml:space="preserve">Solves:</w:t>
      </w:r>
      <w:r>
        <w:t xml:space="preserve"> </w:t>
      </w:r>
      <w:r>
        <w:t xml:space="preserve">D‑001 (overview of proposed process); enhances C‑001 (novelty framing)</w:t>
      </w:r>
    </w:p>
    <w:p>
      <w:pPr>
        <w:pStyle w:val="BodyText"/>
      </w:pPr>
      <w:r>
        <w:rPr>
          <w:b/>
          <w:bCs/>
        </w:rPr>
        <w:t xml:space="preserve">Source comments:</w:t>
      </w:r>
      <w:r>
        <w:t xml:space="preserve"> </w:t>
      </w:r>
      <w:r>
        <w:t xml:space="preserve">Abstract and Introduction currently focus on results and evaluation gaps but lack a concise description of the evaluation process and experiment design.</w:t>
      </w:r>
    </w:p>
    <w:p>
      <w:pPr>
        <w:pStyle w:val="BodyText"/>
      </w:pPr>
      <w:r>
        <w:rPr>
          <w:b/>
          <w:bCs/>
        </w:rPr>
        <w:t xml:space="preserve">Issue:</w:t>
      </w:r>
      <w:r>
        <w:t xml:space="preserve"> </w:t>
      </w:r>
      <w:r>
        <w:t xml:space="preserve">Readers may not grasp that the contribution is a methodological framework rather than a new algorithm. Without a short process summary, the abstract feels results‑heavy, and the introduction’s narrative flow suffers.</w:t>
      </w:r>
    </w:p>
    <w:p>
      <w:pPr>
        <w:pStyle w:val="BodyText"/>
      </w:pPr>
      <w:r>
        <w:rPr>
          <w:b/>
          <w:bCs/>
        </w:rPr>
        <w:t xml:space="preserve">Target locations:</w:t>
      </w:r>
    </w:p>
    <w:p>
      <w:pPr>
        <w:pStyle w:val="Compact"/>
        <w:numPr>
          <w:ilvl w:val="0"/>
          <w:numId w:val="1001"/>
        </w:numPr>
      </w:pPr>
      <w:r>
        <w:rPr>
          <w:rStyle w:val="VerbatimChar"/>
        </w:rPr>
        <w:t xml:space="preserve">main.tex</w:t>
      </w:r>
      <w:r>
        <w:t xml:space="preserve"> </w:t>
      </w:r>
      <w:r>
        <w:t xml:space="preserve">— Abstract: immediately after the paragraph that summarises the capacity paradox and cross‑testbed validation (approx. L204–L208 in the current file).</w:t>
      </w:r>
    </w:p>
    <w:p>
      <w:pPr>
        <w:pStyle w:val="Compact"/>
        <w:numPr>
          <w:ilvl w:val="0"/>
          <w:numId w:val="1001"/>
        </w:numPr>
      </w:pPr>
      <w:r>
        <w:rPr>
          <w:rStyle w:val="VerbatimChar"/>
        </w:rPr>
        <w:t xml:space="preserve">main.tex</w:t>
      </w:r>
      <w:r>
        <w:t xml:space="preserve"> </w:t>
      </w:r>
      <w:r>
        <w:t xml:space="preserve">— Introduction: just before the “Our Approach and Evaluation Scope” subsection (around L293).</w:t>
      </w:r>
    </w:p>
    <w:p>
      <w:pPr>
        <w:pStyle w:val="FirstParagraph"/>
      </w:pPr>
      <w:r>
        <w:rPr>
          <w:b/>
          <w:bCs/>
        </w:rPr>
        <w:t xml:space="preserve">Proposed text (LaTeX):</w:t>
      </w:r>
    </w:p>
    <w:p>
      <w:pPr>
        <w:pStyle w:val="SourceCode"/>
      </w:pPr>
      <w:r>
        <w:rPr>
          <w:rStyle w:val="VerbatimChar"/>
        </w:rPr>
        <w:t xml:space="preserve">% Abstract (end of abstract)</w:t>
      </w:r>
      <w:r>
        <w:br/>
      </w:r>
      <w:r>
        <w:rPr>
          <w:rStyle w:val="VerbatimChar"/>
        </w:rPr>
        <w:t xml:space="preserve">Our work does **not** introduce a new routing algorithm; rather, it provides a unified evaluation framework.  We construct a comprehensive test suite spanning five threat regimes, multiple algorithm families (EXP3‑family, CMAB/iCMAB, and pursuit–neural hybrids), distinct qubit allocators, and replay‑capacity semantics.  This cross‑product design supports direct attribution of performance to the algorithm–allocator–capacity triad and uncovers threat‑specific deployment guidelines.</w:t>
      </w:r>
      <w:r>
        <w:br/>
      </w:r>
      <w:r>
        <w:br/>
      </w:r>
      <w:r>
        <w:rPr>
          <w:rStyle w:val="VerbatimChar"/>
        </w:rPr>
        <w:t xml:space="preserve">% Introduction (after problem statement and evaluation gaps, before Our Approach)</w:t>
      </w:r>
      <w:r>
        <w:br/>
      </w:r>
      <w:r>
        <w:rPr>
          <w:rStyle w:val="VerbatimChar"/>
        </w:rPr>
        <w:t xml:space="preserve">In this paper we develop a reproducible evaluation pipeline: a unified threat taxonomy (None, Stochastic, Markov, Adaptive and OnlineAdaptive), a portfolio of bandit‑style routing algorithms (EXP‑family, contextual CMAB/iCMAB models and pursuit–neural hybrids), and a set of qubit allocation and replay‑capacity configurations.  We run this pipeline on curated simulation suites and external testbeds, producing a corpus of results that enable direct cross‑algorithm comparisons and reveal the capacity paradox.  This process, rather than a novel algorithm, constitutes our primary contribution.</w:t>
      </w:r>
    </w:p>
    <w:p>
      <w:pPr>
        <w:pStyle w:val="FirstParagraph"/>
      </w:pPr>
      <w:r>
        <w:rPr>
          <w:b/>
          <w:bCs/>
        </w:rPr>
        <w:t xml:space="preserve">Why this makes sense:</w:t>
      </w:r>
    </w:p>
    <w:p>
      <w:pPr>
        <w:pStyle w:val="Compact"/>
        <w:numPr>
          <w:ilvl w:val="0"/>
          <w:numId w:val="1002"/>
        </w:numPr>
      </w:pPr>
      <w:r>
        <w:t xml:space="preserve">Explicitly frames the paper as a methodological contribution.</w:t>
      </w:r>
    </w:p>
    <w:p>
      <w:pPr>
        <w:pStyle w:val="Compact"/>
        <w:numPr>
          <w:ilvl w:val="0"/>
          <w:numId w:val="1002"/>
        </w:numPr>
      </w:pPr>
      <w:r>
        <w:t xml:space="preserve">Clarifies the evaluation process and differentiates it from algorithm innovation.</w:t>
      </w:r>
    </w:p>
    <w:p>
      <w:pPr>
        <w:pStyle w:val="Compact"/>
        <w:numPr>
          <w:ilvl w:val="0"/>
          <w:numId w:val="1002"/>
        </w:numPr>
      </w:pPr>
      <w:r>
        <w:t xml:space="preserve">Helps satisfy Dan’s request for a 2–3‑sentence process overview.</w:t>
      </w:r>
    </w:p>
    <w:bookmarkEnd w:id="27"/>
    <w:bookmarkStart w:id="28" w:name="X352685e64f732ee8f7ec3c1965083d3fee62ed9"/>
    <w:p>
      <w:pPr>
        <w:pStyle w:val="Heading3"/>
      </w:pPr>
      <w:r>
        <w:t xml:space="preserve">P‑007 — Restructure introduction for narrative flow</w:t>
      </w:r>
    </w:p>
    <w:p>
      <w:pPr>
        <w:pStyle w:val="FirstParagraph"/>
      </w:pPr>
      <w:r>
        <w:rPr>
          <w:b/>
          <w:bCs/>
        </w:rPr>
        <w:t xml:space="preserve">Solves:</w:t>
      </w:r>
      <w:r>
        <w:t xml:space="preserve"> </w:t>
      </w:r>
      <w:r>
        <w:t xml:space="preserve">C‑002 (improve introduction flow)</w:t>
      </w:r>
    </w:p>
    <w:p>
      <w:pPr>
        <w:pStyle w:val="BodyText"/>
      </w:pPr>
      <w:r>
        <w:rPr>
          <w:b/>
          <w:bCs/>
        </w:rPr>
        <w:t xml:space="preserve">Issue:</w:t>
      </w:r>
      <w:r>
        <w:t xml:space="preserve"> </w:t>
      </w:r>
      <w:r>
        <w:t xml:space="preserve">The introduction presently blends background, challenges and evaluation gaps in a way that can confuse readers. A clearer narrative structure will improve readability and set up the rest of the paper.</w:t>
      </w:r>
    </w:p>
    <w:p>
      <w:pPr>
        <w:pStyle w:val="BodyText"/>
      </w:pPr>
      <w:r>
        <w:rPr>
          <w:b/>
          <w:bCs/>
        </w:rPr>
        <w:t xml:space="preserve">Proposed actions:</w:t>
      </w:r>
    </w:p>
    <w:p>
      <w:pPr>
        <w:pStyle w:val="Compact"/>
        <w:numPr>
          <w:ilvl w:val="0"/>
          <w:numId w:val="1003"/>
        </w:numPr>
      </w:pPr>
      <w:r>
        <w:rPr>
          <w:b/>
          <w:bCs/>
        </w:rPr>
        <w:t xml:space="preserve">Problem statement:</w:t>
      </w:r>
      <w:r>
        <w:t xml:space="preserve"> </w:t>
      </w:r>
      <w:r>
        <w:t xml:space="preserve">Begin the introduction with a concise description of the quantum routing problem and why it is challenging (fragility of entanglement, stochastic entanglement generation and swapping, no‑cloning theorem), using existing lines L222–L243 of</w:t>
      </w:r>
      <w:r>
        <w:t xml:space="preserve"> </w:t>
      </w:r>
      <w:r>
        <w:rPr>
          <w:rStyle w:val="VerbatimChar"/>
        </w:rPr>
        <w:t xml:space="preserve">main.tex</w:t>
      </w:r>
      <w:r>
        <w:t xml:space="preserve">.</w:t>
      </w:r>
    </w:p>
    <w:p>
      <w:pPr>
        <w:pStyle w:val="Compact"/>
        <w:numPr>
          <w:ilvl w:val="0"/>
          <w:numId w:val="1003"/>
        </w:numPr>
      </w:pPr>
      <w:r>
        <w:rPr>
          <w:b/>
          <w:bCs/>
        </w:rPr>
        <w:t xml:space="preserve">Gap identification:</w:t>
      </w:r>
      <w:r>
        <w:t xml:space="preserve"> </w:t>
      </w:r>
      <w:r>
        <w:t xml:space="preserve">Immediately follow with a paragraph summarising the heterogeneity and incompatibility of prior evaluations and highlighting the need for a unified benchmark (see L253–L290).</w:t>
      </w:r>
    </w:p>
    <w:p>
      <w:pPr>
        <w:pStyle w:val="Compact"/>
        <w:numPr>
          <w:ilvl w:val="0"/>
          <w:numId w:val="1003"/>
        </w:numPr>
      </w:pPr>
      <w:r>
        <w:rPr>
          <w:b/>
          <w:bCs/>
        </w:rPr>
        <w:t xml:space="preserve">Approach overview:</w:t>
      </w:r>
      <w:r>
        <w:t xml:space="preserve"> </w:t>
      </w:r>
      <w:r>
        <w:t xml:space="preserve">Insert the P‑006 process summary as a transition to the evaluation methodology.</w:t>
      </w:r>
    </w:p>
    <w:p>
      <w:pPr>
        <w:pStyle w:val="Compact"/>
        <w:numPr>
          <w:ilvl w:val="0"/>
          <w:numId w:val="1003"/>
        </w:numPr>
      </w:pPr>
      <w:r>
        <w:rPr>
          <w:b/>
          <w:bCs/>
        </w:rPr>
        <w:t xml:space="preserve">Contributions list:</w:t>
      </w:r>
      <w:r>
        <w:t xml:space="preserve"> </w:t>
      </w:r>
      <w:r>
        <w:t xml:space="preserve">Conclude the introduction with a bulleted list of key contributions (already present around L333–L337).</w:t>
      </w:r>
    </w:p>
    <w:p>
      <w:pPr>
        <w:pStyle w:val="FirstParagraph"/>
      </w:pPr>
      <w:r>
        <w:t xml:space="preserve">These structural edits will be implemented in the next writing pass rather than as a specific P‑code to avoid cluttering the tracker, but they should be documented under the C‑002 item.</w:t>
      </w:r>
    </w:p>
    <w:bookmarkEnd w:id="28"/>
    <w:bookmarkStart w:id="29" w:name="X2e0761a3e1e11d9d80f430e181ac6f7d11437dd"/>
    <w:p>
      <w:pPr>
        <w:pStyle w:val="Heading3"/>
      </w:pPr>
      <w:r>
        <w:t xml:space="preserve">P‑008 — Add “Claim → Evidence → Takeaway” scaffolding to Results subsections</w:t>
      </w:r>
    </w:p>
    <w:p>
      <w:pPr>
        <w:pStyle w:val="FirstParagraph"/>
      </w:pPr>
      <w:r>
        <w:rPr>
          <w:b/>
          <w:bCs/>
        </w:rPr>
        <w:t xml:space="preserve">Solves:</w:t>
      </w:r>
      <w:r>
        <w:t xml:space="preserve"> </w:t>
      </w:r>
      <w:r>
        <w:t xml:space="preserve">C‑004 (Results organisation)</w:t>
      </w:r>
    </w:p>
    <w:p>
      <w:pPr>
        <w:pStyle w:val="BodyText"/>
      </w:pPr>
      <w:r>
        <w:rPr>
          <w:b/>
          <w:bCs/>
        </w:rPr>
        <w:t xml:space="preserve">Issue:</w:t>
      </w:r>
      <w:r>
        <w:t xml:space="preserve"> </w:t>
      </w:r>
      <w:r>
        <w:t xml:space="preserve">The Results section contains rich tables and analysis across multiple research questions, but the narrative can feel disjointed. Readers would benefit from a concise summary at the start of each RQ subsection.</w:t>
      </w:r>
    </w:p>
    <w:p>
      <w:pPr>
        <w:pStyle w:val="BodyText"/>
      </w:pPr>
      <w:r>
        <w:rPr>
          <w:b/>
          <w:bCs/>
        </w:rPr>
        <w:t xml:space="preserve">Target locations:</w:t>
      </w:r>
      <w:r>
        <w:t xml:space="preserve"> </w:t>
      </w:r>
      <w:r>
        <w:t xml:space="preserve">Each RQ answer subsection (e.g.,</w:t>
      </w:r>
      <w:r>
        <w:t xml:space="preserve"> </w:t>
      </w:r>
      <w:r>
        <w:rPr>
          <w:rStyle w:val="VerbatimChar"/>
        </w:rPr>
        <w:t xml:space="preserve">\subsection{RQ1}</w:t>
      </w:r>
      <w:r>
        <w:t xml:space="preserve">,</w:t>
      </w:r>
      <w:r>
        <w:t xml:space="preserve"> </w:t>
      </w:r>
      <w:r>
        <w:rPr>
          <w:rStyle w:val="VerbatimChar"/>
        </w:rPr>
        <w:t xml:space="preserve">\subsection{RQ2}</w:t>
      </w:r>
      <w:r>
        <w:t xml:space="preserve">,</w:t>
      </w:r>
      <w:r>
        <w:t xml:space="preserve"> </w:t>
      </w:r>
      <w:r>
        <w:rPr>
          <w:rStyle w:val="VerbatimChar"/>
        </w:rPr>
        <w:t xml:space="preserve">\subsection{RQ3}</w:t>
      </w:r>
      <w:r>
        <w:t xml:space="preserve">) just after the</w:t>
      </w:r>
      <w:r>
        <w:t xml:space="preserve"> </w:t>
      </w:r>
      <w:r>
        <w:rPr>
          <w:rStyle w:val="VerbatimChar"/>
        </w:rPr>
        <w:t xml:space="preserve">Hypothesis</w:t>
      </w:r>
      <w:r>
        <w:t xml:space="preserve"> </w:t>
      </w:r>
      <w:r>
        <w:t xml:space="preserve">and before detailed tables.</w:t>
      </w:r>
    </w:p>
    <w:p>
      <w:pPr>
        <w:pStyle w:val="BodyText"/>
      </w:pPr>
      <w:r>
        <w:rPr>
          <w:b/>
          <w:bCs/>
        </w:rPr>
        <w:t xml:space="preserve">Proposed scaffolding (LaTeX template):</w:t>
      </w:r>
    </w:p>
    <w:p>
      <w:pPr>
        <w:pStyle w:val="SourceCode"/>
      </w:pPr>
      <w:r>
        <w:rPr>
          <w:rStyle w:val="VerbatimChar"/>
        </w:rPr>
        <w:t xml:space="preserve">\paragraph{Claim.}  [One sentence stating the main claim of the RQ (e.g., “Under stochastic decoherence, only pursuit–neural models remain deployment‑viable”).]</w:t>
      </w:r>
      <w:r>
        <w:br/>
      </w:r>
      <w:r>
        <w:br/>
      </w:r>
      <w:r>
        <w:rPr>
          <w:rStyle w:val="VerbatimChar"/>
        </w:rPr>
        <w:t xml:space="preserve">\paragraph{Evidence.}  [Summarise the key metrics or trends, pointing to the relevant table/figure.]  For example: “Table \ref{tab:rq1masterstochastic} shows that the best contextual baselines achieve ≥85 % efficiency, while classical baselines drop to 60–80 % under stochastic noise.”</w:t>
      </w:r>
      <w:r>
        <w:br/>
      </w:r>
      <w:r>
        <w:br/>
      </w:r>
      <w:r>
        <w:rPr>
          <w:rStyle w:val="VerbatimChar"/>
        </w:rPr>
        <w:t xml:space="preserve">\paragraph{Takeaway.}  [Provide a one‑sentence implication or recommendation, connecting the results back to the research questions.]</w:t>
      </w:r>
    </w:p>
    <w:p>
      <w:pPr>
        <w:pStyle w:val="FirstParagraph"/>
      </w:pPr>
      <w:r>
        <w:rPr>
          <w:b/>
          <w:bCs/>
        </w:rPr>
        <w:t xml:space="preserve">Why this makes sense:</w:t>
      </w:r>
    </w:p>
    <w:p>
      <w:pPr>
        <w:pStyle w:val="Compact"/>
        <w:numPr>
          <w:ilvl w:val="0"/>
          <w:numId w:val="1004"/>
        </w:numPr>
      </w:pPr>
      <w:r>
        <w:t xml:space="preserve">Provides an “executive summary” for each RQ, improving readability.</w:t>
      </w:r>
    </w:p>
    <w:p>
      <w:pPr>
        <w:pStyle w:val="Compact"/>
        <w:numPr>
          <w:ilvl w:val="0"/>
          <w:numId w:val="1004"/>
        </w:numPr>
      </w:pPr>
      <w:r>
        <w:t xml:space="preserve">Aligns with Dan’s request to organise by research questions.</w:t>
      </w:r>
    </w:p>
    <w:p>
      <w:pPr>
        <w:pStyle w:val="Compact"/>
        <w:numPr>
          <w:ilvl w:val="0"/>
          <w:numId w:val="1004"/>
        </w:numPr>
      </w:pPr>
      <w:r>
        <w:t xml:space="preserve">Facilitates internal review by highlighting claims and evidence succinctly.</w:t>
      </w:r>
    </w:p>
    <w:bookmarkEnd w:id="29"/>
    <w:bookmarkStart w:id="30" w:name="X5ad13f9ad28e053faf2ae41f86b05e501622f42"/>
    <w:p>
      <w:pPr>
        <w:pStyle w:val="Heading3"/>
      </w:pPr>
      <w:r>
        <w:t xml:space="preserve">P‑009 — Remove duplicate commented blocks in Limitations/Future Work</w:t>
      </w:r>
    </w:p>
    <w:p>
      <w:pPr>
        <w:pStyle w:val="FirstParagraph"/>
      </w:pPr>
      <w:r>
        <w:rPr>
          <w:b/>
          <w:bCs/>
        </w:rPr>
        <w:t xml:space="preserve">Solves:</w:t>
      </w:r>
      <w:r>
        <w:t xml:space="preserve"> </w:t>
      </w:r>
      <w:r>
        <w:t xml:space="preserve">C‑005 (resolve duplication notes)</w:t>
      </w:r>
    </w:p>
    <w:p>
      <w:pPr>
        <w:pStyle w:val="BodyText"/>
      </w:pPr>
      <w:r>
        <w:rPr>
          <w:b/>
          <w:bCs/>
        </w:rPr>
        <w:t xml:space="preserve">Issue:</w:t>
      </w:r>
      <w:r>
        <w:t xml:space="preserve"> </w:t>
      </w:r>
      <w:r>
        <w:t xml:space="preserve">The</w:t>
      </w:r>
      <w:r>
        <w:t xml:space="preserve"> </w:t>
      </w:r>
      <w:r>
        <w:rPr>
          <w:rStyle w:val="VerbatimChar"/>
        </w:rPr>
        <w:t xml:space="preserve">Limitations and Future Work</w:t>
      </w:r>
      <w:r>
        <w:t xml:space="preserve"> </w:t>
      </w:r>
      <w:r>
        <w:t xml:space="preserve">section contains repeated paragraphs in commented blocks (lines 3324–3339 etc.), which are redundant and could cause confusion</w:t>
      </w:r>
      <w:hyperlink r:id="rId23">
        <w:r>
          <w:rPr>
            <w:rStyle w:val="Hyperlink"/>
          </w:rPr>
          <w:t xml:space="preserve">[3]</w:t>
        </w:r>
      </w:hyperlink>
      <w:r>
        <w:t xml:space="preserve">. The duplication may have arisen from earlier merges.</w:t>
      </w:r>
    </w:p>
    <w:p>
      <w:pPr>
        <w:pStyle w:val="BodyText"/>
      </w:pPr>
      <w:r>
        <w:rPr>
          <w:b/>
          <w:bCs/>
        </w:rPr>
        <w:t xml:space="preserve">Action:</w:t>
      </w:r>
      <w:r>
        <w:t xml:space="preserve"> </w:t>
      </w:r>
      <w:r>
        <w:t xml:space="preserve">Delete the commented duplicate paragraphs (they are prefixed with</w:t>
      </w:r>
      <w:r>
        <w:t xml:space="preserve"> </w:t>
      </w:r>
      <w:r>
        <w:rPr>
          <w:rStyle w:val="VerbatimChar"/>
        </w:rPr>
        <w:t xml:space="preserve">%</w:t>
      </w:r>
      <w:r>
        <w:t xml:space="preserve">), retaining only the consolidated narrative from lines 3229–3310. This can be done in a future commit. Record the removal in the Change Log. No LaTeX insertion is necessary.</w:t>
      </w:r>
    </w:p>
    <w:bookmarkEnd w:id="30"/>
    <w:bookmarkStart w:id="31" w:name="X5c87af442cc376413cab8d8dbfc53c6dcc333c9"/>
    <w:p>
      <w:pPr>
        <w:pStyle w:val="Heading3"/>
      </w:pPr>
      <w:r>
        <w:t xml:space="preserve">P‑010 — Add small comparison table contrasting closest works</w:t>
      </w:r>
    </w:p>
    <w:p>
      <w:pPr>
        <w:pStyle w:val="FirstParagraph"/>
      </w:pPr>
      <w:r>
        <w:rPr>
          <w:b/>
          <w:bCs/>
        </w:rPr>
        <w:t xml:space="preserve">Solves:</w:t>
      </w:r>
      <w:r>
        <w:t xml:space="preserve"> </w:t>
      </w:r>
      <w:r>
        <w:t xml:space="preserve">D‑002 (contrast vs closest works); supplements C‑003</w:t>
      </w:r>
    </w:p>
    <w:p>
      <w:pPr>
        <w:pStyle w:val="BodyText"/>
      </w:pPr>
      <w:r>
        <w:rPr>
          <w:b/>
          <w:bCs/>
        </w:rPr>
        <w:t xml:space="preserve">Issue:</w:t>
      </w:r>
      <w:r>
        <w:t xml:space="preserve"> </w:t>
      </w:r>
      <w:r>
        <w:t xml:space="preserve">While P‑002 and P‑003 add narrative comparisons to LinkSelFiE and adjacent routing lines, a concise comparison table would visually summarise the differences between our evaluation and the closest quantum routing papers.</w:t>
      </w:r>
    </w:p>
    <w:p>
      <w:pPr>
        <w:pStyle w:val="BodyText"/>
      </w:pPr>
      <w:r>
        <w:rPr>
          <w:b/>
          <w:bCs/>
        </w:rPr>
        <w:t xml:space="preserve">Target location:</w:t>
      </w:r>
      <w:r>
        <w:t xml:space="preserve"> </w:t>
      </w:r>
      <w:r>
        <w:t xml:space="preserve">At the end of the</w:t>
      </w:r>
      <w:r>
        <w:t xml:space="preserve"> </w:t>
      </w:r>
      <w:r>
        <w:rPr>
          <w:rStyle w:val="VerbatimChar"/>
        </w:rPr>
        <w:t xml:space="preserve">Quantum Network Routing with Bandits</w:t>
      </w:r>
      <w:r>
        <w:t xml:space="preserve"> </w:t>
      </w:r>
      <w:r>
        <w:t xml:space="preserve">subsection in</w:t>
      </w:r>
      <w:r>
        <w:t xml:space="preserve"> </w:t>
      </w:r>
      <w:r>
        <w:rPr>
          <w:rStyle w:val="VerbatimChar"/>
        </w:rPr>
        <w:t xml:space="preserve">02--related_works.tex</w:t>
      </w:r>
      <w:r>
        <w:t xml:space="preserve"> </w:t>
      </w:r>
      <w:r>
        <w:t xml:space="preserve">or in a new appendix section.</w:t>
      </w:r>
    </w:p>
    <w:p>
      <w:pPr>
        <w:pStyle w:val="BodyText"/>
      </w:pPr>
      <w:r>
        <w:rPr>
          <w:b/>
          <w:bCs/>
        </w:rPr>
        <w:t xml:space="preserve">Proposed table (LaTeX):</w:t>
      </w:r>
    </w:p>
    <w:p>
      <w:pPr>
        <w:pStyle w:val="SourceCode"/>
      </w:pPr>
      <w:r>
        <w:rPr>
          <w:rStyle w:val="VerbatimChar"/>
        </w:rPr>
        <w:t xml:space="preserve">\begin{table}[t]</w:t>
      </w:r>
      <w:r>
        <w:br/>
      </w:r>
      <w:r>
        <w:rPr>
          <w:rStyle w:val="VerbatimChar"/>
        </w:rPr>
        <w:t xml:space="preserve">  \centering</w:t>
      </w:r>
      <w:r>
        <w:br/>
      </w:r>
      <w:r>
        <w:rPr>
          <w:rStyle w:val="VerbatimChar"/>
        </w:rPr>
        <w:t xml:space="preserve">  \caption{Comparison against closest quantum routing works.  A tick (\checkmark) indicates that a feature is present.}</w:t>
      </w:r>
      <w:r>
        <w:br/>
      </w:r>
      <w:r>
        <w:rPr>
          <w:rStyle w:val="VerbatimChar"/>
        </w:rPr>
        <w:t xml:space="preserve">  \begin{tabular}{@{}lccc@{}}</w:t>
      </w:r>
      <w:r>
        <w:br/>
      </w:r>
      <w:r>
        <w:rPr>
          <w:rStyle w:val="VerbatimChar"/>
        </w:rPr>
        <w:t xml:space="preserve">    \toprule</w:t>
      </w:r>
      <w:r>
        <w:br/>
      </w:r>
      <w:r>
        <w:rPr>
          <w:rStyle w:val="VerbatimChar"/>
        </w:rPr>
        <w:t xml:space="preserve">    Work &amp; Adversarial &amp; Link vs Path &amp; Evaluation benchmark \\ \midrule</w:t>
      </w:r>
      <w:r>
        <w:br/>
      </w:r>
      <w:r>
        <w:rPr>
          <w:rStyle w:val="VerbatimChar"/>
        </w:rPr>
        <w:t xml:space="preserve">    Huang et al.~\cite{huang2024quantum} &amp; \checkmark &amp; Path + allocation &amp; \texttimes \\</w:t>
      </w:r>
      <w:r>
        <w:br/>
      </w:r>
      <w:r>
        <w:rPr>
          <w:rStyle w:val="VerbatimChar"/>
        </w:rPr>
        <w:t xml:space="preserve">    LinkSelFiE (10621263) &amp; \checkmark &amp; Link only &amp; \texttimes \\</w:t>
      </w:r>
      <w:r>
        <w:br/>
      </w:r>
      <w:r>
        <w:rPr>
          <w:rStyle w:val="VerbatimChar"/>
        </w:rPr>
        <w:t xml:space="preserve">    Wang et al.~\cite{wang2024adaptive} &amp; \texttimes &amp; Path &amp; \texttimes \\</w:t>
      </w:r>
      <w:r>
        <w:br/>
      </w:r>
      <w:r>
        <w:rPr>
          <w:rStyle w:val="VerbatimChar"/>
        </w:rPr>
        <w:t xml:space="preserve">    This work &amp; \checkmark &amp; Path + allocation &amp; \checkmark \\</w:t>
      </w:r>
      <w:r>
        <w:br/>
      </w:r>
      <w:r>
        <w:rPr>
          <w:rStyle w:val="VerbatimChar"/>
        </w:rPr>
        <w:t xml:space="preserve">    \bottomrule</w:t>
      </w:r>
      <w:r>
        <w:br/>
      </w:r>
      <w:r>
        <w:rPr>
          <w:rStyle w:val="VerbatimChar"/>
        </w:rPr>
        <w:t xml:space="preserve">  \end{tabular}</w:t>
      </w:r>
      <w:r>
        <w:br/>
      </w:r>
      <w:r>
        <w:rPr>
          <w:rStyle w:val="VerbatimChar"/>
        </w:rPr>
        <w:t xml:space="preserve">  \label{tab:closestworkcompare}</w:t>
      </w:r>
      <w:r>
        <w:br/>
      </w:r>
      <w:r>
        <w:rPr>
          <w:rStyle w:val="VerbatimChar"/>
        </w:rPr>
        <w:t xml:space="preserve">\end{table}</w:t>
      </w:r>
    </w:p>
    <w:p>
      <w:pPr>
        <w:pStyle w:val="FirstParagraph"/>
      </w:pPr>
      <w:r>
        <w:rPr>
          <w:b/>
          <w:bCs/>
        </w:rPr>
        <w:t xml:space="preserve">Why this makes sense:</w:t>
      </w:r>
    </w:p>
    <w:p>
      <w:pPr>
        <w:pStyle w:val="Compact"/>
        <w:numPr>
          <w:ilvl w:val="0"/>
          <w:numId w:val="1005"/>
        </w:numPr>
      </w:pPr>
      <w:r>
        <w:t xml:space="preserve">Gives readers a quick visual contrast of our evaluation methodology versus other works.</w:t>
      </w:r>
    </w:p>
    <w:p>
      <w:pPr>
        <w:pStyle w:val="Compact"/>
        <w:numPr>
          <w:ilvl w:val="0"/>
          <w:numId w:val="1005"/>
        </w:numPr>
      </w:pPr>
      <w:r>
        <w:t xml:space="preserve">Supports Dan’s request for direct comparisons without adding much narrative overhead.</w:t>
      </w:r>
    </w:p>
    <w:p>
      <w:pPr>
        <w:pStyle w:val="Compact"/>
        <w:numPr>
          <w:ilvl w:val="0"/>
          <w:numId w:val="1005"/>
        </w:numPr>
      </w:pPr>
      <w:r>
        <w:t xml:space="preserve">Serves as a cross‑reference for the more detailed paragraphs added in P‑001–P‑004.</w:t>
      </w:r>
    </w:p>
    <w:bookmarkEnd w:id="31"/>
    <w:bookmarkStart w:id="32" w:name="X40e6e92f333f5b783839c62123c52e50302c223"/>
    <w:p>
      <w:pPr>
        <w:pStyle w:val="Heading3"/>
      </w:pPr>
      <w:r>
        <w:t xml:space="preserve">P‑011 — Integrate ε‑greedy and NeuralUCB results and add testbed configuration table</w:t>
      </w:r>
    </w:p>
    <w:p>
      <w:pPr>
        <w:pStyle w:val="FirstParagraph"/>
      </w:pPr>
      <w:r>
        <w:rPr>
          <w:b/>
          <w:bCs/>
        </w:rPr>
        <w:t xml:space="preserve">Solves:</w:t>
      </w:r>
      <w:r>
        <w:t xml:space="preserve"> </w:t>
      </w:r>
      <w:r>
        <w:t xml:space="preserve">D‑006 (ε‑greedy/NeuralUCB results and comparison table)</w:t>
      </w:r>
    </w:p>
    <w:p>
      <w:pPr>
        <w:pStyle w:val="BodyText"/>
      </w:pPr>
      <w:r>
        <w:rPr>
          <w:b/>
          <w:bCs/>
        </w:rPr>
        <w:t xml:space="preserve">Issue:</w:t>
      </w:r>
      <w:r>
        <w:t xml:space="preserve"> </w:t>
      </w:r>
      <w:r>
        <w:t xml:space="preserve">The current results emphasise classical EXP and contextual CMAB/iCMAB models but offer little visibility into ε‑greedy or NeuralUCB performance. Moreover, testbed configurations (frames, runs, threat scenarios) are scattered in the text.</w:t>
      </w:r>
    </w:p>
    <w:p>
      <w:pPr>
        <w:pStyle w:val="BodyText"/>
      </w:pPr>
      <w:r>
        <w:rPr>
          <w:b/>
          <w:bCs/>
        </w:rPr>
        <w:t xml:space="preserve">Target locations:</w:t>
      </w:r>
    </w:p>
    <w:p>
      <w:pPr>
        <w:pStyle w:val="Compact"/>
        <w:numPr>
          <w:ilvl w:val="0"/>
          <w:numId w:val="1006"/>
        </w:numPr>
      </w:pPr>
      <w:r>
        <w:t xml:space="preserve">Add a new row in the master results table (e.g.,</w:t>
      </w:r>
      <w:r>
        <w:t xml:space="preserve"> </w:t>
      </w:r>
      <w:r>
        <w:rPr>
          <w:rStyle w:val="VerbatimChar"/>
        </w:rPr>
        <w:t xml:space="preserve">\ref{tab:rq1masterstochastic}</w:t>
      </w:r>
      <w:r>
        <w:t xml:space="preserve"> </w:t>
      </w:r>
      <w:r>
        <w:t xml:space="preserve">or its equivalent for RQ2) summarising ε‑greedy and NeuralUCB performance. If the number of models becomes large, group them into a separate table.</w:t>
      </w:r>
    </w:p>
    <w:p>
      <w:pPr>
        <w:pStyle w:val="Compact"/>
        <w:numPr>
          <w:ilvl w:val="0"/>
          <w:numId w:val="1006"/>
        </w:numPr>
      </w:pPr>
      <w:r>
        <w:t xml:space="preserve">Introduce a small table (perhaps in the evaluation design section or an appendix) listing each external testbed (Papers 2, 7, 12, 8) along with its frame sizes, number of runs, network topology (size/density), and threat scenarios.</w:t>
      </w:r>
    </w:p>
    <w:p>
      <w:pPr>
        <w:pStyle w:val="FirstParagraph"/>
      </w:pPr>
      <w:r>
        <w:rPr>
          <w:b/>
          <w:bCs/>
        </w:rPr>
        <w:t xml:space="preserve">Proposed table (testbed configs, LaTeX):</w:t>
      </w:r>
    </w:p>
    <w:p>
      <w:pPr>
        <w:pStyle w:val="SourceCode"/>
      </w:pPr>
      <w:r>
        <w:rPr>
          <w:rStyle w:val="VerbatimChar"/>
        </w:rPr>
        <w:t xml:space="preserve">\begin{table}[t]</w:t>
      </w:r>
      <w:r>
        <w:br/>
      </w:r>
      <w:r>
        <w:rPr>
          <w:rStyle w:val="VerbatimChar"/>
        </w:rPr>
        <w:t xml:space="preserve">  \centering</w:t>
      </w:r>
      <w:r>
        <w:br/>
      </w:r>
      <w:r>
        <w:rPr>
          <w:rStyle w:val="VerbatimChar"/>
        </w:rPr>
        <w:t xml:space="preserve">  \caption{External testbed configurations for cross‑validation.}</w:t>
      </w:r>
      <w:r>
        <w:br/>
      </w:r>
      <w:r>
        <w:rPr>
          <w:rStyle w:val="VerbatimChar"/>
        </w:rPr>
        <w:t xml:space="preserve">  \begin{tabular}{@{}lcccc@{}}</w:t>
      </w:r>
      <w:r>
        <w:br/>
      </w:r>
      <w:r>
        <w:rPr>
          <w:rStyle w:val="VerbatimChar"/>
        </w:rPr>
        <w:t xml:space="preserve">    \toprule</w:t>
      </w:r>
      <w:r>
        <w:br/>
      </w:r>
      <w:r>
        <w:rPr>
          <w:rStyle w:val="VerbatimChar"/>
        </w:rPr>
        <w:t xml:space="preserve">    Testbed &amp; Topology &amp; Frames &amp; Runs &amp; Threat scenarios \\ \midrule</w:t>
      </w:r>
      <w:r>
        <w:br/>
      </w:r>
      <w:r>
        <w:rPr>
          <w:rStyle w:val="VerbatimChar"/>
        </w:rPr>
        <w:t xml:space="preserve">    Paper 2 &amp; Sparse (15‑node) &amp; $4\mathrm{K}$–$6\mathrm{K}$ &amp; 3/5 &amp; \textsc{None, Stoch., Markov} \\</w:t>
      </w:r>
      <w:r>
        <w:br/>
      </w:r>
      <w:r>
        <w:rPr>
          <w:rStyle w:val="VerbatimChar"/>
        </w:rPr>
        <w:t xml:space="preserve">    Paper 7 &amp; Compact (20‑node) &amp; $4\mathrm{K}$–$6\mathrm{K}$ &amp; 3/5 &amp; \textsc{None, Stoch., Markov} \\</w:t>
      </w:r>
      <w:r>
        <w:br/>
      </w:r>
      <w:r>
        <w:rPr>
          <w:rStyle w:val="VerbatimChar"/>
        </w:rPr>
        <w:t xml:space="preserve">    Paper 12 &amp; Dense (50‑node) &amp; $8\mathrm{K}$ &amp; 5/10 &amp; \textsc{None, Stoch., Markov, Adaptive} \\</w:t>
      </w:r>
      <w:r>
        <w:br/>
      </w:r>
      <w:r>
        <w:rPr>
          <w:rStyle w:val="VerbatimChar"/>
        </w:rPr>
        <w:t xml:space="preserve">    Paper 8 &amp; Mid‑scale (100‑node) &amp; $8\mathrm{K}$ &amp; 5/10 &amp; \textsc{None, Stoch., Markov, Adaptive, OnlineAdaptive} \\</w:t>
      </w:r>
      <w:r>
        <w:br/>
      </w:r>
      <w:r>
        <w:rPr>
          <w:rStyle w:val="VerbatimChar"/>
        </w:rPr>
        <w:t xml:space="preserve">    \bottomrule</w:t>
      </w:r>
      <w:r>
        <w:br/>
      </w:r>
      <w:r>
        <w:rPr>
          <w:rStyle w:val="VerbatimChar"/>
        </w:rPr>
        <w:t xml:space="preserve">  \end{tabular}</w:t>
      </w:r>
      <w:r>
        <w:br/>
      </w:r>
      <w:r>
        <w:rPr>
          <w:rStyle w:val="VerbatimChar"/>
        </w:rPr>
        <w:t xml:space="preserve">  \label{tab:testbedconfigs}</w:t>
      </w:r>
      <w:r>
        <w:br/>
      </w:r>
      <w:r>
        <w:rPr>
          <w:rStyle w:val="VerbatimChar"/>
        </w:rPr>
        <w:t xml:space="preserve">\end{table}</w:t>
      </w:r>
    </w:p>
    <w:p>
      <w:pPr>
        <w:pStyle w:val="FirstParagraph"/>
      </w:pPr>
      <w:r>
        <w:rPr>
          <w:b/>
          <w:bCs/>
        </w:rPr>
        <w:t xml:space="preserve">Why this makes sense:</w:t>
      </w:r>
    </w:p>
    <w:p>
      <w:pPr>
        <w:pStyle w:val="Compact"/>
        <w:numPr>
          <w:ilvl w:val="0"/>
          <w:numId w:val="1007"/>
        </w:numPr>
      </w:pPr>
      <w:r>
        <w:t xml:space="preserve">Fulfills Dan’s request for ε‑greedy/NeuralUCB results and clarifies the cross‑testbed context.</w:t>
      </w:r>
    </w:p>
    <w:p>
      <w:pPr>
        <w:pStyle w:val="Compact"/>
        <w:numPr>
          <w:ilvl w:val="0"/>
          <w:numId w:val="1007"/>
        </w:numPr>
      </w:pPr>
      <w:r>
        <w:t xml:space="preserve">Helps readers replicate the experiments by summarising testbed parameters.</w:t>
      </w:r>
    </w:p>
    <w:p>
      <w:pPr>
        <w:pStyle w:val="Compact"/>
        <w:numPr>
          <w:ilvl w:val="0"/>
          <w:numId w:val="1007"/>
        </w:numPr>
      </w:pPr>
      <w:r>
        <w:t xml:space="preserve">Integrates well with the standardized cross‑testbed benchmarking described in the Limitations/Future‑Work section</w:t>
      </w:r>
      <w:hyperlink r:id="rId25">
        <w:r>
          <w:rPr>
            <w:rStyle w:val="Hyperlink"/>
          </w:rPr>
          <w:t xml:space="preserve">[4]</w:t>
        </w:r>
      </w:hyperlink>
      <w:r>
        <w:t xml:space="preserve">.</w:t>
      </w:r>
    </w:p>
    <w:bookmarkEnd w:id="32"/>
    <w:bookmarkStart w:id="33" w:name="X09938b4a519a6c930edd14216219767f87712da"/>
    <w:p>
      <w:pPr>
        <w:pStyle w:val="Heading3"/>
      </w:pPr>
      <w:r>
        <w:t xml:space="preserve">P‑012 — Prepare cross‑testbed comparison table</w:t>
      </w:r>
    </w:p>
    <w:p>
      <w:pPr>
        <w:pStyle w:val="FirstParagraph"/>
      </w:pPr>
      <w:r>
        <w:rPr>
          <w:b/>
          <w:bCs/>
        </w:rPr>
        <w:t xml:space="preserve">Solves:</w:t>
      </w:r>
      <w:r>
        <w:t xml:space="preserve"> </w:t>
      </w:r>
      <w:r>
        <w:t xml:space="preserve">D‑007 (Paper 7/12 cross‑testbed comparison once jobs finish)</w:t>
      </w:r>
    </w:p>
    <w:p>
      <w:pPr>
        <w:pStyle w:val="BodyText"/>
      </w:pPr>
      <w:r>
        <w:rPr>
          <w:b/>
          <w:bCs/>
        </w:rPr>
        <w:t xml:space="preserve">Issue:</w:t>
      </w:r>
      <w:r>
        <w:t xml:space="preserve"> </w:t>
      </w:r>
      <w:r>
        <w:t xml:space="preserve">The Limitations/Future‑Work section mentions ongoing cross‑testbed benchmarking (Papers 2, 7, 12, and 8) but does not yet include results</w:t>
      </w:r>
      <w:hyperlink r:id="rId25">
        <w:r>
          <w:rPr>
            <w:rStyle w:val="Hyperlink"/>
          </w:rPr>
          <w:t xml:space="preserve">[4]</w:t>
        </w:r>
      </w:hyperlink>
      <w:r>
        <w:t xml:space="preserve">. A summary table will be required once the jobs complete.</w:t>
      </w:r>
    </w:p>
    <w:p>
      <w:pPr>
        <w:pStyle w:val="BodyText"/>
      </w:pPr>
      <w:r>
        <w:rPr>
          <w:b/>
          <w:bCs/>
        </w:rPr>
        <w:t xml:space="preserve">Action:</w:t>
      </w:r>
      <w:r>
        <w:t xml:space="preserve"> </w:t>
      </w:r>
      <w:r>
        <w:t xml:space="preserve">Create a placeholder P‑012 item in the tracker noting that a table should be added when results arrive. The table should compare oracle‑normalised efficiency across the four testbeds for the top models (e.g., pursuit–neural, CMAB/iCMAB, adversarial baselines) under standardized parameters. The header could include “Testbed,” “Model family,” “Average efficiency,” and “Notes on capacity paradox manifestation.”</w:t>
      </w:r>
    </w:p>
    <w:bookmarkEnd w:id="33"/>
    <w:bookmarkEnd w:id="34"/>
    <w:bookmarkStart w:id="35" w:name="next-steps"/>
    <w:p>
      <w:pPr>
        <w:pStyle w:val="Heading2"/>
      </w:pPr>
      <w:r>
        <w:t xml:space="preserve">Next Steps</w:t>
      </w:r>
    </w:p>
    <w:p>
      <w:pPr>
        <w:pStyle w:val="Compact"/>
        <w:numPr>
          <w:ilvl w:val="0"/>
          <w:numId w:val="1008"/>
        </w:numPr>
      </w:pPr>
      <w:r>
        <w:rPr>
          <w:b/>
          <w:bCs/>
        </w:rPr>
        <w:t xml:space="preserve">Implement P‑001–P‑005</w:t>
      </w:r>
      <w:r>
        <w:t xml:space="preserve"> </w:t>
      </w:r>
      <w:r>
        <w:t xml:space="preserve">from the original tracker and the new P‑006–P‑012 proposed here.</w:t>
      </w:r>
    </w:p>
    <w:p>
      <w:pPr>
        <w:pStyle w:val="Compact"/>
        <w:numPr>
          <w:ilvl w:val="0"/>
          <w:numId w:val="1008"/>
        </w:numPr>
      </w:pPr>
      <w:r>
        <w:rPr>
          <w:b/>
          <w:bCs/>
        </w:rPr>
        <w:t xml:space="preserve">Revise the manuscript</w:t>
      </w:r>
      <w:r>
        <w:t xml:space="preserve"> </w:t>
      </w:r>
      <w:r>
        <w:t xml:space="preserve">according to the narrative and structural suggestions in P‑006 and P‑007.</w:t>
      </w:r>
    </w:p>
    <w:p>
      <w:pPr>
        <w:pStyle w:val="Compact"/>
        <w:numPr>
          <w:ilvl w:val="0"/>
          <w:numId w:val="1008"/>
        </w:numPr>
      </w:pPr>
      <w:r>
        <w:rPr>
          <w:b/>
          <w:bCs/>
        </w:rPr>
        <w:t xml:space="preserve">Generate updated tables and figures</w:t>
      </w:r>
      <w:r>
        <w:t xml:space="preserve"> </w:t>
      </w:r>
      <w:r>
        <w:t xml:space="preserve">for ε‑greedy/NeuralUCB and cross‑testbed comparisons once the simulation jobs complete.</w:t>
      </w:r>
    </w:p>
    <w:p>
      <w:pPr>
        <w:pStyle w:val="Compact"/>
        <w:numPr>
          <w:ilvl w:val="0"/>
          <w:numId w:val="1008"/>
        </w:numPr>
      </w:pPr>
      <w:r>
        <w:rPr>
          <w:b/>
          <w:bCs/>
        </w:rPr>
        <w:t xml:space="preserve">Resolve submission logistics</w:t>
      </w:r>
      <w:r>
        <w:t xml:space="preserve"> </w:t>
      </w:r>
      <w:r>
        <w:t xml:space="preserve">(anonymity, Overleaf sharing, venue plan) before the submission sprint.</w:t>
      </w:r>
    </w:p>
    <w:p>
      <w:pPr>
        <w:pStyle w:val="Compact"/>
        <w:numPr>
          <w:ilvl w:val="0"/>
          <w:numId w:val="1008"/>
        </w:numPr>
      </w:pPr>
      <w:r>
        <w:rPr>
          <w:b/>
          <w:bCs/>
        </w:rPr>
        <w:t xml:space="preserve">Monitor advisor feedback</w:t>
      </w:r>
      <w:r>
        <w:t xml:space="preserve"> </w:t>
      </w:r>
      <w:r>
        <w:t xml:space="preserve">(Professor Travis, Dan) and convert new comments into C‑items with corresponding P‑codes.</w:t>
      </w:r>
    </w:p>
    <w:p>
      <w:pPr>
        <w:pStyle w:val="FirstParagraph"/>
      </w:pPr>
      <w:r>
        <w:t xml:space="preserve">This comprehensive analysis should guide the remaining revisions, ensuring that all of Dan’s concerns are addressed and that the manuscript presents a clear, properly attributed, and well structured contribution.</w:t>
      </w:r>
    </w:p>
    <w:bookmarkEnd w:id="35"/>
    <w:bookmarkEnd w:id="36"/>
    <w:bookmarkEnd w:id="37"/>
    <w:p>
      <w:r>
        <w:pict>
          <v:rect style="width:0;height:1.5pt" o:hralign="center" o:hrstd="t" o:hr="t"/>
        </w:pict>
      </w:r>
    </w:p>
    <w:bookmarkStart w:id="4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raw.githubusercontent.com</w:t>
      </w:r>
    </w:p>
    <w:p>
      <w:pPr>
        <w:pStyle w:val="BodyText"/>
      </w:pPr>
      <w:hyperlink r:id="rId38">
        <w:r>
          <w:rPr>
            <w:rStyle w:val="Hyperlink"/>
          </w:rPr>
          <w:t xml:space="preserve">https://raw.githubusercontent.com/pzg8794/QuantumFaultTolerant/main/tracking/PAPER-CHANGES-TRACKER-2.md</w:t>
        </w:r>
      </w:hyperlink>
    </w:p>
    <w:p>
      <w:pPr>
        <w:pStyle w:val="BodyText"/>
      </w:pPr>
      <w:hyperlink r:id="rId23">
        <w:r>
          <w:rPr>
            <w:rStyle w:val="Hyperlink"/>
          </w:rPr>
          <w:t xml:space="preserve">[3]</w:t>
        </w:r>
      </w:hyperlink>
      <w:r>
        <w:t xml:space="preserve"> </w:t>
      </w:r>
      <w:hyperlink r:id="rId25">
        <w:r>
          <w:rPr>
            <w:rStyle w:val="Hyperlink"/>
          </w:rPr>
          <w:t xml:space="preserve">[4]</w:t>
        </w:r>
      </w:hyperlink>
      <w:r>
        <w:t xml:space="preserve"> </w:t>
      </w:r>
      <w:r>
        <w:t xml:space="preserve">raw.githubusercontent.com</w:t>
      </w:r>
    </w:p>
    <w:p>
      <w:pPr>
        <w:pStyle w:val="BodyText"/>
      </w:pPr>
      <w:hyperlink r:id="rId39">
        <w:r>
          <w:rPr>
            <w:rStyle w:val="Hyperlink"/>
          </w:rPr>
          <w:t xml:space="preserve">https://raw.githubusercontent.com/pzg8794/QuantumFaultTolerant/main/main.tex</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raw.githubusercontent.com/pzg8794/QuantumFaultTolerant/main/main.tex" TargetMode="External" /><Relationship Type="http://schemas.openxmlformats.org/officeDocument/2006/relationships/hyperlink" Id="rId23" Target="https://raw.githubusercontent.com/pzg8794/QuantumFaultTolerant/main/main.tex#:~:text=%5Csection" TargetMode="External" /><Relationship Type="http://schemas.openxmlformats.org/officeDocument/2006/relationships/hyperlink" Id="rId25" Target="https://raw.githubusercontent.com/pzg8794/QuantumFaultTolerant/main/main.tex#:~:text=%5Ctextbf%7BStandardized%20cross,manifests%20consistently%20across%20network%20structures" TargetMode="External" /><Relationship Type="http://schemas.openxmlformats.org/officeDocument/2006/relationships/hyperlink" Id="rId38" Target="https://raw.githubusercontent.com/pzg8794/QuantumFaultTolerant/main/tracking/PAPER-CHANGES-TRACKER-2.md" TargetMode="External" /><Relationship Type="http://schemas.openxmlformats.org/officeDocument/2006/relationships/hyperlink" Id="rId22" Target="https://raw.githubusercontent.com/pzg8794/QuantumFaultTolerant/main/tracking/PAPER-CHANGES-TRACKER-2.md#:~:text=" TargetMode="External" /><Relationship Type="http://schemas.openxmlformats.org/officeDocument/2006/relationships/hyperlink" Id="rId21" Target="https://raw.githubusercontent.com/pzg8794/QuantumFaultTolerant/main/tracking/PAPER-CHANGES-TRACKER-2.md#:~:text=Most%20subsections%20already%20explicitly%20attribute,Quantum%20Network%20Routing%20with%20Bandits" TargetMode="External" /></Relationships>
</file>

<file path=word/_rels/footnotes.xml.rels><?xml version="1.0" encoding="UTF-8"?><Relationships xmlns="http://schemas.openxmlformats.org/package/2006/relationships"><Relationship Type="http://schemas.openxmlformats.org/officeDocument/2006/relationships/hyperlink" Id="rId39" Target="https://raw.githubusercontent.com/pzg8794/QuantumFaultTolerant/main/main.tex" TargetMode="External" /><Relationship Type="http://schemas.openxmlformats.org/officeDocument/2006/relationships/hyperlink" Id="rId23" Target="https://raw.githubusercontent.com/pzg8794/QuantumFaultTolerant/main/main.tex#:~:text=%5Csection" TargetMode="External" /><Relationship Type="http://schemas.openxmlformats.org/officeDocument/2006/relationships/hyperlink" Id="rId25" Target="https://raw.githubusercontent.com/pzg8794/QuantumFaultTolerant/main/main.tex#:~:text=%5Ctextbf%7BStandardized%20cross,manifests%20consistently%20across%20network%20structures" TargetMode="External" /><Relationship Type="http://schemas.openxmlformats.org/officeDocument/2006/relationships/hyperlink" Id="rId38" Target="https://raw.githubusercontent.com/pzg8794/QuantumFaultTolerant/main/tracking/PAPER-CHANGES-TRACKER-2.md" TargetMode="External" /><Relationship Type="http://schemas.openxmlformats.org/officeDocument/2006/relationships/hyperlink" Id="rId22" Target="https://raw.githubusercontent.com/pzg8794/QuantumFaultTolerant/main/tracking/PAPER-CHANGES-TRACKER-2.md#:~:text=" TargetMode="External" /><Relationship Type="http://schemas.openxmlformats.org/officeDocument/2006/relationships/hyperlink" Id="rId21" Target="https://raw.githubusercontent.com/pzg8794/QuantumFaultTolerant/main/tracking/PAPER-CHANGES-TRACKER-2.md#:~:text=Most%20subsections%20already%20explicitly%20attribute,Quantum%20Network%20Routing%20with%20Band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2026-03-24T21:12:38Z</dcterms:created>
  <dcterms:modified xsi:type="dcterms:W3CDTF">2026-03-24T21:12:38Z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