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1" w:name="content"/>
    <w:bookmarkStart w:id="30" w:name="Xd4953146d592a7f93a60764d407772fc86a6827"/>
    <w:p>
      <w:pPr>
        <w:pStyle w:val="Heading1"/>
      </w:pPr>
      <w:r>
        <w:t xml:space="preserve">Critical Analysis of the AHRQ‑NIMHD Expert Panel’s Framework Through the EQUITAS Lens</w:t>
      </w:r>
    </w:p>
    <w:bookmarkStart w:id="23" w:name="initiative-description"/>
    <w:p>
      <w:pPr>
        <w:pStyle w:val="Heading2"/>
      </w:pPr>
      <w:r>
        <w:t xml:space="preserve">Initiative Description</w:t>
      </w:r>
    </w:p>
    <w:p>
      <w:pPr>
        <w:pStyle w:val="FirstParagraph"/>
      </w:pPr>
      <w:r>
        <w:t xml:space="preserve">The</w:t>
      </w:r>
      <w:r>
        <w:t xml:space="preserve"> </w:t>
      </w:r>
      <w:r>
        <w:rPr>
          <w:b/>
          <w:bCs/>
        </w:rPr>
        <w:t xml:space="preserve">AHRQ‑NIMHD Expert Panel</w:t>
      </w:r>
      <w:r>
        <w:t xml:space="preserve"> </w:t>
      </w:r>
      <w:r>
        <w:t xml:space="preserve">was convened in 2023 by the U.S.</w:t>
      </w:r>
      <w:r>
        <w:t xml:space="preserve"> </w:t>
      </w:r>
      <w:r>
        <w:rPr>
          <w:i/>
          <w:iCs/>
        </w:rPr>
        <w:t xml:space="preserve">Agency for Healthcare Research and Quality</w:t>
      </w:r>
      <w:r>
        <w:t xml:space="preserve"> </w:t>
      </w:r>
      <w:r>
        <w:t xml:space="preserve">(AHRQ) and the</w:t>
      </w:r>
      <w:r>
        <w:t xml:space="preserve"> </w:t>
      </w:r>
      <w:r>
        <w:rPr>
          <w:i/>
          <w:iCs/>
        </w:rPr>
        <w:t xml:space="preserve">National Institute on Minority Health and Health Disparities</w:t>
      </w:r>
      <w:r>
        <w:t xml:space="preserve"> </w:t>
      </w:r>
      <w:r>
        <w:t xml:space="preserve">(NIMHD). Co‑chaired by Dr. Lucila Ohno‑Machado and aligned with President Biden’s racial‑equity executive order, the panel included nine experts from diverse backgrounds and received input from community representatives</w:t>
      </w:r>
      <w:hyperlink r:id="rId21">
        <w:r>
          <w:rPr>
            <w:rStyle w:val="Hyperlink"/>
          </w:rPr>
          <w:t xml:space="preserve">[1]</w:t>
        </w:r>
      </w:hyperlink>
      <w:r>
        <w:t xml:space="preserve">. Its mission was to address</w:t>
      </w:r>
      <w:r>
        <w:t xml:space="preserve"> </w:t>
      </w:r>
      <w:r>
        <w:rPr>
          <w:b/>
          <w:bCs/>
        </w:rPr>
        <w:t xml:space="preserve">algorithmic bias in healthcare AI systems</w:t>
      </w:r>
      <w:r>
        <w:t xml:space="preserve">—particularly models that require racial or ethnic minorities to be much sicker than white patients before they qualify for the same diagnosis or resources, as seen in cardiac surgery and kidney transplantation</w:t>
      </w:r>
      <w:hyperlink r:id="rId21">
        <w:r>
          <w:rPr>
            <w:rStyle w:val="Hyperlink"/>
          </w:rPr>
          <w:t xml:space="preserve">[2]</w:t>
        </w:r>
      </w:hyperlink>
      <w:r>
        <w:t xml:space="preserve">. To tackle these harms, the panel published a conceptual framework in</w:t>
      </w:r>
      <w:r>
        <w:t xml:space="preserve"> </w:t>
      </w:r>
      <w:r>
        <w:rPr>
          <w:i/>
          <w:iCs/>
        </w:rPr>
        <w:t xml:space="preserve">JAMA Network Open</w:t>
      </w:r>
      <w:r>
        <w:t xml:space="preserve"> </w:t>
      </w:r>
      <w:r>
        <w:t xml:space="preserve">with five guiding principles: promote health equity throughout the algorithm lifecycle; ensure transparency and explainability; authentically engage patients and communities; explicitly identify fairness issues and trade‑offs; and ensure accountability for equitable outcomes</w:t>
      </w:r>
      <w:hyperlink r:id="rId21">
        <w:r>
          <w:rPr>
            <w:rStyle w:val="Hyperlink"/>
          </w:rPr>
          <w:t xml:space="preserve">[3]</w:t>
        </w:r>
      </w:hyperlink>
      <w:r>
        <w:t xml:space="preserve">. AHRQ’s press release underscores that these principles span problem identification, data selection, development, validation, deployment, and ongoing evaluation</w:t>
      </w:r>
      <w:hyperlink r:id="rId22">
        <w:r>
          <w:rPr>
            <w:rStyle w:val="Hyperlink"/>
          </w:rPr>
          <w:t xml:space="preserve">[4]</w:t>
        </w:r>
      </w:hyperlink>
      <w:r>
        <w:t xml:space="preserve">.</w:t>
      </w:r>
    </w:p>
    <w:bookmarkEnd w:id="23"/>
    <w:bookmarkStart w:id="24" w:name="X0ace7ae5c83a4cce67f483bb1b98ff587b22a8c"/>
    <w:p>
      <w:pPr>
        <w:pStyle w:val="Heading2"/>
      </w:pPr>
      <w:r>
        <w:t xml:space="preserve">Meaninglessness – Are the Principles Actionable?</w:t>
      </w:r>
    </w:p>
    <w:p>
      <w:pPr>
        <w:pStyle w:val="FirstParagraph"/>
      </w:pPr>
      <w:r>
        <w:t xml:space="preserve">Luke Munn criticizes AI ethics frameworks for using</w:t>
      </w:r>
      <w:r>
        <w:t xml:space="preserve"> </w:t>
      </w:r>
      <w:r>
        <w:rPr>
          <w:b/>
          <w:bCs/>
        </w:rPr>
        <w:t xml:space="preserve">vague, feel‑good principles</w:t>
      </w:r>
      <w:r>
        <w:t xml:space="preserve"> </w:t>
      </w:r>
      <w:r>
        <w:t xml:space="preserve">that allow “ethics shopping” and box‑ticking. In this case, the expert panel’s values—</w:t>
      </w:r>
      <w:r>
        <w:rPr>
          <w:b/>
          <w:bCs/>
        </w:rPr>
        <w:t xml:space="preserve">equity</w:t>
      </w:r>
      <w:r>
        <w:t xml:space="preserve">,</w:t>
      </w:r>
      <w:r>
        <w:t xml:space="preserve"> </w:t>
      </w:r>
      <w:r>
        <w:rPr>
          <w:b/>
          <w:bCs/>
        </w:rPr>
        <w:t xml:space="preserve">transparency</w:t>
      </w:r>
      <w:r>
        <w:t xml:space="preserve">,</w:t>
      </w:r>
      <w:r>
        <w:t xml:space="preserve"> </w:t>
      </w:r>
      <w:r>
        <w:rPr>
          <w:b/>
          <w:bCs/>
        </w:rPr>
        <w:t xml:space="preserve">engagement</w:t>
      </w:r>
      <w:r>
        <w:t xml:space="preserve">,</w:t>
      </w:r>
      <w:r>
        <w:t xml:space="preserve"> </w:t>
      </w:r>
      <w:r>
        <w:rPr>
          <w:b/>
          <w:bCs/>
        </w:rPr>
        <w:t xml:space="preserve">fairness</w:t>
      </w:r>
      <w:r>
        <w:t xml:space="preserve"> </w:t>
      </w:r>
      <w:r>
        <w:t xml:space="preserve">and</w:t>
      </w:r>
      <w:r>
        <w:t xml:space="preserve"> </w:t>
      </w:r>
      <w:r>
        <w:rPr>
          <w:b/>
          <w:bCs/>
        </w:rPr>
        <w:t xml:space="preserve">accountability</w:t>
      </w:r>
      <w:r>
        <w:t xml:space="preserve">—are commendable yet high‑level. They do not specify</w:t>
      </w:r>
      <w:r>
        <w:t xml:space="preserve"> </w:t>
      </w:r>
      <w:r>
        <w:rPr>
          <w:i/>
          <w:iCs/>
        </w:rPr>
        <w:t xml:space="preserve">how</w:t>
      </w:r>
      <w:r>
        <w:t xml:space="preserve"> </w:t>
      </w:r>
      <w:r>
        <w:t xml:space="preserve">to collect representative data, resolve conflicting accuracy‑fairness trade‑offs, or measure success. For culturally and linguistically diverse (CLD) communities, phrases like “authentic engagement” and “health equity” remain open to interpretation: does engagement mean a survey, co‑design sessions with interpreters, or community‑controlled data governance? Munn’s critique applies here, but</w:t>
      </w:r>
      <w:r>
        <w:t xml:space="preserve"> </w:t>
      </w:r>
      <w:r>
        <w:rPr>
          <w:b/>
          <w:bCs/>
        </w:rPr>
        <w:t xml:space="preserve">our EQUITAS framework highlights an even deeper gap</w:t>
      </w:r>
      <w:r>
        <w:t xml:space="preserve">: the principles do not foreground the</w:t>
      </w:r>
      <w:r>
        <w:t xml:space="preserve"> </w:t>
      </w:r>
      <w:r>
        <w:rPr>
          <w:b/>
          <w:bCs/>
        </w:rPr>
        <w:t xml:space="preserve">quality and provenance of the data</w:t>
      </w:r>
      <w:r>
        <w:t xml:space="preserve"> </w:t>
      </w:r>
      <w:r>
        <w:t xml:space="preserve">that feed these algorithms. Clinical AI often learns from datasets that under‑represent CLD patients or encode systemic biases, yet the framework does not mandate auditing dataset composition or requiring linguistically appropriate data collection. In IDAI700 we stress that</w:t>
      </w:r>
      <w:r>
        <w:t xml:space="preserve"> </w:t>
      </w:r>
      <w:r>
        <w:rPr>
          <w:i/>
          <w:iCs/>
        </w:rPr>
        <w:t xml:space="preserve">fair diagnostics hinge on equitable data inputs and culturally informed training processes</w:t>
      </w:r>
      <w:r>
        <w:t xml:space="preserve">, without which transparency and fairness are impossible. Thus, beyond Munn’s claim of vagueness, the initiative falls short because it doesn’t prioritise</w:t>
      </w:r>
      <w:r>
        <w:t xml:space="preserve"> </w:t>
      </w:r>
      <w:r>
        <w:rPr>
          <w:b/>
          <w:bCs/>
        </w:rPr>
        <w:t xml:space="preserve">data representativeness, context and provenance</w:t>
      </w:r>
      <w:r>
        <w:t xml:space="preserve">—the foundation of any unbiased model.</w:t>
      </w:r>
    </w:p>
    <w:bookmarkEnd w:id="24"/>
    <w:bookmarkStart w:id="25" w:name="Xa21c789febd182bc822ddc1c6d22e8a57677932"/>
    <w:p>
      <w:pPr>
        <w:pStyle w:val="Heading2"/>
      </w:pPr>
      <w:r>
        <w:t xml:space="preserve">Isolation – Does It Address Structural Drivers?</w:t>
      </w:r>
    </w:p>
    <w:p>
      <w:pPr>
        <w:pStyle w:val="FirstParagraph"/>
      </w:pPr>
      <w:r>
        <w:t xml:space="preserve">Munn argues that ethics codes often operate</w:t>
      </w:r>
      <w:r>
        <w:t xml:space="preserve"> </w:t>
      </w:r>
      <w:r>
        <w:rPr>
          <w:b/>
          <w:bCs/>
        </w:rPr>
        <w:t xml:space="preserve">in isolation</w:t>
      </w:r>
      <w:r>
        <w:t xml:space="preserve">, ignoring the societal structures and corporate incentives that produce biased AI. The AHRQ‑NIMHD framework acknowledges that algorithms can exacerbate disparities and calls for diverse training data</w:t>
      </w:r>
      <w:hyperlink r:id="rId21">
        <w:r>
          <w:rPr>
            <w:rStyle w:val="Hyperlink"/>
          </w:rPr>
          <w:t xml:space="preserve">[2]</w:t>
        </w:r>
      </w:hyperlink>
      <w:r>
        <w:t xml:space="preserve">, yet it remains largely a technical solution. It doesn’t confront why minority populations have poorer access to healthcare, how profit‑driven healthcare systems reward efficiency over equity, or how immigration status and language barriers reduce representation in datasets. The initiative also overlooks</w:t>
      </w:r>
      <w:r>
        <w:t xml:space="preserve"> </w:t>
      </w:r>
      <w:r>
        <w:rPr>
          <w:b/>
          <w:bCs/>
        </w:rPr>
        <w:t xml:space="preserve">educational inequities</w:t>
      </w:r>
      <w:r>
        <w:t xml:space="preserve">—Munn notes that computer science curricula rarely address ethics or intersectionality—so developers may not know how to engage CLD communities. Moreover, the framework doesn’t mention</w:t>
      </w:r>
      <w:r>
        <w:t xml:space="preserve"> </w:t>
      </w:r>
      <w:r>
        <w:rPr>
          <w:b/>
          <w:bCs/>
        </w:rPr>
        <w:t xml:space="preserve">data sovereignty</w:t>
      </w:r>
      <w:r>
        <w:t xml:space="preserve"> </w:t>
      </w:r>
      <w:r>
        <w:t xml:space="preserve">or the rights of marginalized groups to control their health data. Our EQUITAS lens emphasises that fair diagnostics must disrupt systemic injustices—such as racially biased clinical guidelines and underfunded community clinics—alongside algorithmic changes. By focusing on the algorithm lifecycle without embedding it in a broader social‑justice strategy, the initiative risks operating within the same structures that produced the disparities.</w:t>
      </w:r>
    </w:p>
    <w:bookmarkEnd w:id="25"/>
    <w:bookmarkStart w:id="27" w:name="enforcement-are-there-teeth"/>
    <w:p>
      <w:pPr>
        <w:pStyle w:val="Heading2"/>
      </w:pPr>
      <w:r>
        <w:t xml:space="preserve">Enforcement – Are There Teeth?</w:t>
      </w:r>
    </w:p>
    <w:p>
      <w:pPr>
        <w:pStyle w:val="FirstParagraph"/>
      </w:pPr>
      <w:r>
        <w:t xml:space="preserve">Munn’s critique of “toothless” ethics points out that many guidelines lack enforcement mechanisms, penalties or veto power. The AHRQ‑NIMHD framework exemplifies this problem. It offers guiding principles and encourages accountability, yet there is</w:t>
      </w:r>
      <w:r>
        <w:t xml:space="preserve"> </w:t>
      </w:r>
      <w:r>
        <w:rPr>
          <w:b/>
          <w:bCs/>
        </w:rPr>
        <w:t xml:space="preserve">no binding requirement</w:t>
      </w:r>
      <w:r>
        <w:t xml:space="preserve"> </w:t>
      </w:r>
      <w:r>
        <w:t xml:space="preserve">for healthcare organisations or AI vendors to comply. The framework does not establish an independent oversight body, mandate regular fairness audits, or specify consequences for continued use of biased algorithms. While an AHRQ evidence review lists technical bias‑mitigation strategies—such as altering input variables, adjusting the racial composition of training data, or creating separate models for different groups</w:t>
      </w:r>
      <w:hyperlink r:id="rId26">
        <w:r>
          <w:rPr>
            <w:rStyle w:val="Hyperlink"/>
          </w:rPr>
          <w:t xml:space="preserve">[5]</w:t>
        </w:r>
      </w:hyperlink>
      <w:r>
        <w:t xml:space="preserve">—adopting these strategies remains voluntary. From an EQUITAS perspective, meaningful enforcement would involve</w:t>
      </w:r>
      <w:r>
        <w:t xml:space="preserve"> </w:t>
      </w:r>
      <w:r>
        <w:rPr>
          <w:b/>
          <w:bCs/>
        </w:rPr>
        <w:t xml:space="preserve">regulatory mandates, external audits, and clear recourse mechanisms</w:t>
      </w:r>
      <w:r>
        <w:t xml:space="preserve"> </w:t>
      </w:r>
      <w:r>
        <w:t xml:space="preserve">when CLD patients suffer harm. Without such structures, well‑intentioned guidelines may be ignored or superficially adopted, perpetuating the principle‑practice gap Munn describes.</w:t>
      </w:r>
    </w:p>
    <w:bookmarkEnd w:id="27"/>
    <w:bookmarkStart w:id="28" w:name="Xcb54a74812352fcf0d7c29fd655fe5c81963dc4"/>
    <w:p>
      <w:pPr>
        <w:pStyle w:val="Heading2"/>
      </w:pPr>
      <w:r>
        <w:t xml:space="preserve">Diversion – A Step Forward or a Distraction?</w:t>
      </w:r>
    </w:p>
    <w:p>
      <w:pPr>
        <w:pStyle w:val="FirstParagraph"/>
      </w:pPr>
      <w:r>
        <w:t xml:space="preserve">Munn warns that focusing on ethics can divert resources away from</w:t>
      </w:r>
      <w:r>
        <w:t xml:space="preserve"> </w:t>
      </w:r>
      <w:r>
        <w:rPr>
          <w:b/>
          <w:bCs/>
        </w:rPr>
        <w:t xml:space="preserve">harder interventions</w:t>
      </w:r>
      <w:r>
        <w:t xml:space="preserve"> </w:t>
      </w:r>
      <w:r>
        <w:t xml:space="preserve">like regulation and structural reform. Because the AHRQ‑NIMHD initiative comes from federal agencies rather than corporations, it could inform policy if it leads to legislation or funding for fairness audits. However, there is a risk that healthcare providers and technology vendors will highlight adherence to these nonbinding principles to</w:t>
      </w:r>
      <w:r>
        <w:t xml:space="preserve"> </w:t>
      </w:r>
      <w:r>
        <w:rPr>
          <w:b/>
          <w:bCs/>
        </w:rPr>
        <w:t xml:space="preserve">delay stronger oversight</w:t>
      </w:r>
      <w:r>
        <w:t xml:space="preserve">. The framework’s high‑level language allows organisations to claim compliance while continuing to deploy models trained on biased datasets. Meanwhile, more urgent actions—such as investing in inclusive data collection, ensuring language access in electronic health records, and directing resources to community health centres—may be sidelined. Our EQUITAS approach stresses that algorithmic reforms must go hand‑in‑hand with</w:t>
      </w:r>
      <w:r>
        <w:t xml:space="preserve"> </w:t>
      </w:r>
      <w:r>
        <w:rPr>
          <w:b/>
          <w:bCs/>
        </w:rPr>
        <w:t xml:space="preserve">policy changes that address social determinants of health</w:t>
      </w:r>
      <w:r>
        <w:t xml:space="preserve"> </w:t>
      </w:r>
      <w:r>
        <w:t xml:space="preserve">and embed cultural competence across the healthcare system. If the guideline becomes a checkbox rather than a catalyst for deeper change, it may contribute to the diversion Munn warns about.</w:t>
      </w:r>
    </w:p>
    <w:bookmarkEnd w:id="28"/>
    <w:bookmarkStart w:id="29" w:name="Xe242f614fdd57ba7bc7a69a4c3e92fe24fe586a"/>
    <w:p>
      <w:pPr>
        <w:pStyle w:val="Heading2"/>
      </w:pPr>
      <w:r>
        <w:t xml:space="preserve">Final Evaluation – Beyond Munn: Why Data Matters Most</w:t>
      </w:r>
    </w:p>
    <w:p>
      <w:pPr>
        <w:pStyle w:val="FirstParagraph"/>
      </w:pPr>
      <w:r>
        <w:t xml:space="preserve">Through Munn’s lens, the AHRQ‑NIMHD framework is an earnest attempt to tackle algorithmic bias, but it suffers from vagueness, isolation, and lack of enforcement, making it susceptible to ethics washing. Our EQUITAS analysis agrees with these critiques but goes further:</w:t>
      </w:r>
      <w:r>
        <w:t xml:space="preserve"> </w:t>
      </w:r>
      <w:r>
        <w:rPr>
          <w:b/>
          <w:bCs/>
        </w:rPr>
        <w:t xml:space="preserve">the most critical part of ethical AI is the data and learning environment</w:t>
      </w:r>
      <w:r>
        <w:t xml:space="preserve">. Models trained on incomplete or biased datasets cannot be fixed through downstream guidelines alone. The framework hints at data diversity yet does not require</w:t>
      </w:r>
      <w:r>
        <w:t xml:space="preserve"> </w:t>
      </w:r>
      <w:r>
        <w:rPr>
          <w:b/>
          <w:bCs/>
        </w:rPr>
        <w:t xml:space="preserve">dataset audits, linguistic equity, or community control over data use</w:t>
      </w:r>
      <w:r>
        <w:t xml:space="preserve">. To make algorithms truly fair for CLD communities, we recommend:</w:t>
      </w:r>
    </w:p>
    <w:p>
      <w:pPr>
        <w:pStyle w:val="Compact"/>
        <w:numPr>
          <w:ilvl w:val="0"/>
          <w:numId w:val="1001"/>
        </w:numPr>
      </w:pPr>
      <w:r>
        <w:rPr>
          <w:b/>
          <w:bCs/>
        </w:rPr>
        <w:t xml:space="preserve">Concrete data requirements</w:t>
      </w:r>
      <w:r>
        <w:t xml:space="preserve">: Mandate audits of training data composition, including race, ethnicity, language, and socio‑economic representation, and prohibit algorithms that exacerbate disparities.</w:t>
      </w:r>
    </w:p>
    <w:p>
      <w:pPr>
        <w:pStyle w:val="Compact"/>
        <w:numPr>
          <w:ilvl w:val="0"/>
          <w:numId w:val="1001"/>
        </w:numPr>
      </w:pPr>
      <w:r>
        <w:rPr>
          <w:b/>
          <w:bCs/>
        </w:rPr>
        <w:t xml:space="preserve">Community‑controlled data governance</w:t>
      </w:r>
      <w:r>
        <w:t xml:space="preserve">: Empower marginalized communities to oversee how their health data are collected, stored and used, ensuring cultural and linguistic appropriateness.</w:t>
      </w:r>
    </w:p>
    <w:p>
      <w:pPr>
        <w:pStyle w:val="Compact"/>
        <w:numPr>
          <w:ilvl w:val="0"/>
          <w:numId w:val="1001"/>
        </w:numPr>
      </w:pPr>
      <w:r>
        <w:rPr>
          <w:b/>
          <w:bCs/>
        </w:rPr>
        <w:t xml:space="preserve">Regulatory teeth</w:t>
      </w:r>
      <w:r>
        <w:t xml:space="preserve">: Tie algorithm approval to demonstrable fairness outcomes, with penalties for continued deployment of biased models, and require external auditing by independent bodies.</w:t>
      </w:r>
    </w:p>
    <w:p>
      <w:pPr>
        <w:pStyle w:val="Compact"/>
        <w:numPr>
          <w:ilvl w:val="0"/>
          <w:numId w:val="1001"/>
        </w:numPr>
      </w:pPr>
      <w:r>
        <w:rPr>
          <w:b/>
          <w:bCs/>
        </w:rPr>
        <w:t xml:space="preserve">Structural integration</w:t>
      </w:r>
      <w:r>
        <w:t xml:space="preserve">: Pair algorithmic reforms with investments in social determinants of health—such as language services, insurance access and culturally competent care—to ensure that fair diagnostics do not exist in isolation.</w:t>
      </w:r>
    </w:p>
    <w:p>
      <w:pPr>
        <w:pStyle w:val="Compact"/>
        <w:numPr>
          <w:ilvl w:val="0"/>
          <w:numId w:val="1001"/>
        </w:numPr>
      </w:pPr>
      <w:r>
        <w:rPr>
          <w:b/>
          <w:bCs/>
        </w:rPr>
        <w:t xml:space="preserve">Education and training</w:t>
      </w:r>
      <w:r>
        <w:t xml:space="preserve">: Reform medical and computer‑science curricula to centre ethics, equity and CLD considerations, addressing the “a‑ethical space” identified by Munn.</w:t>
      </w:r>
    </w:p>
    <w:p>
      <w:pPr>
        <w:pStyle w:val="FirstParagraph"/>
      </w:pPr>
      <w:r>
        <w:t xml:space="preserve">Ultimately, Munn’s framework provides valuable critiques of traditional AI ethics but does not fully address the</w:t>
      </w:r>
      <w:r>
        <w:t xml:space="preserve"> </w:t>
      </w:r>
      <w:r>
        <w:rPr>
          <w:b/>
          <w:bCs/>
        </w:rPr>
        <w:t xml:space="preserve">primacy of data</w:t>
      </w:r>
      <w:r>
        <w:t xml:space="preserve">. The AHRQ‑NIMHD initiative advances the conversation but remains high‑level and nonbinding. Without integrating rigorous data practices, community governance and enforcement, it risks being another instance of ethics washing. To align with IDAI700’s EQUITAS framework and our goal of fair diagnostics for marginalized communities, future initiatives must embed</w:t>
      </w:r>
      <w:r>
        <w:t xml:space="preserve"> </w:t>
      </w:r>
      <w:r>
        <w:rPr>
          <w:b/>
          <w:bCs/>
        </w:rPr>
        <w:t xml:space="preserve">data equity</w:t>
      </w:r>
      <w:r>
        <w:t xml:space="preserve"> </w:t>
      </w:r>
      <w:r>
        <w:t xml:space="preserve">and</w:t>
      </w:r>
      <w:r>
        <w:t xml:space="preserve"> </w:t>
      </w:r>
      <w:r>
        <w:rPr>
          <w:b/>
          <w:bCs/>
        </w:rPr>
        <w:t xml:space="preserve">systemic accountability</w:t>
      </w:r>
      <w:r>
        <w:t xml:space="preserve"> </w:t>
      </w:r>
      <w:r>
        <w:t xml:space="preserve">at their core.</w:t>
      </w:r>
    </w:p>
    <w:bookmarkEnd w:id="29"/>
    <w:bookmarkEnd w:id="30"/>
    <w:bookmarkEnd w:id="31"/>
    <w:p>
      <w:r>
        <w:pict>
          <v:rect style="width:0;height:1.5pt" o:hralign="center" o:hrstd="t" o:hr="t"/>
        </w:pict>
      </w:r>
    </w:p>
    <w:bookmarkStart w:id="34" w:name="citations"/>
    <w:p>
      <w:pPr>
        <w:pStyle w:val="FirstParagraph"/>
      </w:pPr>
      <w:hyperlink r:id="rId21">
        <w:r>
          <w:rPr>
            <w:rStyle w:val="Hyperlink"/>
          </w:rPr>
          <w:t xml:space="preserve">[1]</w:t>
        </w:r>
      </w:hyperlink>
      <w:r>
        <w:t xml:space="preserve"> </w:t>
      </w:r>
      <w:hyperlink r:id="rId21">
        <w:r>
          <w:rPr>
            <w:rStyle w:val="Hyperlink"/>
          </w:rPr>
          <w:t xml:space="preserve">[2]</w:t>
        </w:r>
      </w:hyperlink>
      <w:r>
        <w:t xml:space="preserve"> </w:t>
      </w:r>
      <w:hyperlink r:id="rId21">
        <w:r>
          <w:rPr>
            <w:rStyle w:val="Hyperlink"/>
          </w:rPr>
          <w:t xml:space="preserve">[3]</w:t>
        </w:r>
      </w:hyperlink>
      <w:r>
        <w:t xml:space="preserve"> </w:t>
      </w:r>
      <w:r>
        <w:t xml:space="preserve">Eliminating Racial Bias in Health Care AI: Expert Panel Offers Guidelines &lt; Yale School of Medicine</w:t>
      </w:r>
    </w:p>
    <w:p>
      <w:pPr>
        <w:pStyle w:val="BodyText"/>
      </w:pPr>
      <w:hyperlink r:id="rId21">
        <w:r>
          <w:rPr>
            <w:rStyle w:val="Hyperlink"/>
          </w:rPr>
          <w:t xml:space="preserve">https://medicine.yale.edu/news-article/eliminating-racial-bias-in-health-care-ai-expert-panel-offers-guidelines/</w:t>
        </w:r>
      </w:hyperlink>
    </w:p>
    <w:p>
      <w:pPr>
        <w:pStyle w:val="BodyText"/>
      </w:pPr>
      <w:hyperlink r:id="rId22">
        <w:r>
          <w:rPr>
            <w:rStyle w:val="Hyperlink"/>
          </w:rPr>
          <w:t xml:space="preserve">[4]</w:t>
        </w:r>
      </w:hyperlink>
      <w:r>
        <w:t xml:space="preserve"> </w:t>
      </w:r>
      <w:r>
        <w:t xml:space="preserve">Guiding Principles Help Healthcare Community Address Potential Bias Resulting from Algorithms | Agency for Healthcare Research and Quality</w:t>
      </w:r>
    </w:p>
    <w:p>
      <w:pPr>
        <w:pStyle w:val="BodyText"/>
      </w:pPr>
      <w:hyperlink r:id="rId32">
        <w:r>
          <w:rPr>
            <w:rStyle w:val="Hyperlink"/>
          </w:rPr>
          <w:t xml:space="preserve">https://www.ahrq.gov/news/newsroom/press-releases/guiding-principles.html</w:t>
        </w:r>
      </w:hyperlink>
    </w:p>
    <w:p>
      <w:pPr>
        <w:pStyle w:val="BodyText"/>
      </w:pPr>
      <w:hyperlink r:id="rId26">
        <w:r>
          <w:rPr>
            <w:rStyle w:val="Hyperlink"/>
          </w:rPr>
          <w:t xml:space="preserve">[5]</w:t>
        </w:r>
      </w:hyperlink>
      <w:r>
        <w:t xml:space="preserve"> </w:t>
      </w:r>
      <w:r>
        <w:t xml:space="preserve"> </w:t>
      </w:r>
      <w:r>
        <w:t xml:space="preserve">Bias in artificial intelligence algorithms and recommendations for mitigation - PMC</w:t>
      </w:r>
      <w:r>
        <w:t xml:space="preserve"> </w:t>
      </w:r>
    </w:p>
    <w:p>
      <w:pPr>
        <w:pStyle w:val="BodyText"/>
      </w:pPr>
      <w:hyperlink r:id="rId33">
        <w:r>
          <w:rPr>
            <w:rStyle w:val="Hyperlink"/>
          </w:rPr>
          <w:t xml:space="preserve">https://pmc.ncbi.nlm.nih.gov/articles/PMC10287014/</w:t>
        </w:r>
      </w:hyperlink>
    </w:p>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1" Target="https://medicine.yale.edu/news-article/eliminating-racial-bias-in-health-care-ai-expert-panel-offers-guidelines/" TargetMode="External" /><Relationship Type="http://schemas.openxmlformats.org/officeDocument/2006/relationships/hyperlink" Id="rId33" Target="https://pmc.ncbi.nlm.nih.gov/articles/PMC10287014/" TargetMode="External" /><Relationship Type="http://schemas.openxmlformats.org/officeDocument/2006/relationships/hyperlink" Id="rId26" Target="https://pmc.ncbi.nlm.nih.gov/articles/PMC10287014/#:~:text=Recently%2C%20the%20Evidence,60" TargetMode="External" /><Relationship Type="http://schemas.openxmlformats.org/officeDocument/2006/relationships/hyperlink" Id="rId32" Target="https://www.ahrq.gov/news/newsroom/press-releases/guiding-principles.html" TargetMode="External" /><Relationship Type="http://schemas.openxmlformats.org/officeDocument/2006/relationships/hyperlink" Id="rId22" Target="https://www.ahrq.gov/news/newsroom/press-releases/guiding-principles.html#:~:text=These%20guiding%20principles%20were%20developed,be%20found%20on%20AHRQ%E2%80%99s%20website" TargetMode="External" /></Relationships>
</file>

<file path=word/_rels/footnotes.xml.rels><?xml version="1.0" encoding="UTF-8"?><Relationships xmlns="http://schemas.openxmlformats.org/package/2006/relationships"><Relationship Type="http://schemas.openxmlformats.org/officeDocument/2006/relationships/hyperlink" Id="rId21" Target="https://medicine.yale.edu/news-article/eliminating-racial-bias-in-health-care-ai-expert-panel-offers-guidelines/" TargetMode="External" /><Relationship Type="http://schemas.openxmlformats.org/officeDocument/2006/relationships/hyperlink" Id="rId33" Target="https://pmc.ncbi.nlm.nih.gov/articles/PMC10287014/" TargetMode="External" /><Relationship Type="http://schemas.openxmlformats.org/officeDocument/2006/relationships/hyperlink" Id="rId26" Target="https://pmc.ncbi.nlm.nih.gov/articles/PMC10287014/#:~:text=Recently%2C%20the%20Evidence,60" TargetMode="External" /><Relationship Type="http://schemas.openxmlformats.org/officeDocument/2006/relationships/hyperlink" Id="rId32" Target="https://www.ahrq.gov/news/newsroom/press-releases/guiding-principles.html" TargetMode="External" /><Relationship Type="http://schemas.openxmlformats.org/officeDocument/2006/relationships/hyperlink" Id="rId22" Target="https://www.ahrq.gov/news/newsroom/press-releases/guiding-principles.html#:~:text=These%20guiding%20principles%20were%20developed,be%20found%20on%20AHRQ%E2%80%99s%20websit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2025-10-04T07:49:01Z</dcterms:created>
  <dcterms:modified xsi:type="dcterms:W3CDTF">2025-10-04T07:49:01Z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