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03df1cb334c467fc14c746fd2d59b63530f7d3c"/>
    <w:p>
      <w:pPr>
        <w:pStyle w:val="Heading1"/>
      </w:pPr>
      <w:r>
        <w:t xml:space="preserve">Critical Analysis of the AHRQ–NIMHD Expert Panel’s Framework for Eliminating AI Bias</w:t>
      </w:r>
    </w:p>
    <w:bookmarkStart w:id="24" w:name="initiative-description"/>
    <w:p>
      <w:pPr>
        <w:pStyle w:val="Heading2"/>
      </w:pPr>
      <w:r>
        <w:t xml:space="preserve">Initiative Description</w:t>
      </w:r>
    </w:p>
    <w:p>
      <w:pPr>
        <w:pStyle w:val="FirstParagraph"/>
      </w:pPr>
      <w:r>
        <w:t xml:space="preserve">The</w:t>
      </w:r>
      <w:r>
        <w:t xml:space="preserve"> </w:t>
      </w:r>
      <w:r>
        <w:rPr>
          <w:b/>
          <w:bCs/>
        </w:rPr>
        <w:t xml:space="preserve">Agency for Healthcare Research and Quality (AHRQ)</w:t>
      </w:r>
      <w:r>
        <w:t xml:space="preserve"> </w:t>
      </w:r>
      <w:r>
        <w:t xml:space="preserve">and the</w:t>
      </w:r>
      <w:r>
        <w:t xml:space="preserve"> </w:t>
      </w:r>
      <w:r>
        <w:rPr>
          <w:b/>
          <w:bCs/>
        </w:rPr>
        <w:t xml:space="preserve">National Institute on Minority Health and Health Disparities (NIMHD)</w:t>
      </w:r>
      <w:r>
        <w:t xml:space="preserve"> </w:t>
      </w:r>
      <w:r>
        <w:t xml:space="preserve">convened a diverse, nine‑member expert panel in 2023 to confront algorithmic bias in U.S. healthcare. Co‑chaired by Dr. Lucila Ohno‑Machado, the panel’s work was supported by President Biden’s executive order on racial equity and produced a conceptual framework published in</w:t>
      </w:r>
      <w:r>
        <w:t xml:space="preserve"> </w:t>
      </w:r>
      <w:r>
        <w:rPr>
          <w:i/>
          <w:iCs/>
        </w:rPr>
        <w:t xml:space="preserve">JAMA Network Open</w:t>
      </w:r>
      <w:r>
        <w:t xml:space="preserve"> </w:t>
      </w:r>
      <w:r>
        <w:t xml:space="preserve">in December 2023</w:t>
      </w:r>
      <w:hyperlink r:id="rId21">
        <w:r>
          <w:rPr>
            <w:rStyle w:val="Hyperlink"/>
          </w:rPr>
          <w:t xml:space="preserve">[1]</w:t>
        </w:r>
      </w:hyperlink>
      <w:r>
        <w:t xml:space="preserve">. The panel argues that biased algorithms require Black, Latinx and other minority patients to be “considerably more ill than their white counterparts” before receiving the same diagnoses or resources, citing examples in cardiac surgery and kidney transplantation</w:t>
      </w:r>
      <w:hyperlink r:id="rId21">
        <w:r>
          <w:rPr>
            <w:rStyle w:val="Hyperlink"/>
          </w:rPr>
          <w:t xml:space="preserve">[2]</w:t>
        </w:r>
      </w:hyperlink>
      <w:r>
        <w:t xml:space="preserve">. Their framework covers the entire AI life‑cycle—problem identification, data selection, development, validation, deployment and ongoing evaluation—and proposes five guiding principles: </w:t>
      </w:r>
    </w:p>
    <w:p>
      <w:pPr>
        <w:pStyle w:val="Compact"/>
        <w:numPr>
          <w:ilvl w:val="0"/>
          <w:numId w:val="1001"/>
        </w:numPr>
      </w:pPr>
      <w:r>
        <w:rPr>
          <w:b/>
          <w:bCs/>
        </w:rPr>
        <w:t xml:space="preserve">Promote health and healthcare equity during all phases of the algorithm life‑cycle.</w:t>
      </w:r>
    </w:p>
    <w:p>
      <w:pPr>
        <w:pStyle w:val="Compact"/>
        <w:numPr>
          <w:ilvl w:val="0"/>
          <w:numId w:val="1001"/>
        </w:numPr>
      </w:pPr>
      <w:r>
        <w:rPr>
          <w:b/>
          <w:bCs/>
        </w:rPr>
        <w:t xml:space="preserve">Ensure algorithm transparency and explainability.</w:t>
      </w:r>
    </w:p>
    <w:p>
      <w:pPr>
        <w:pStyle w:val="Compact"/>
        <w:numPr>
          <w:ilvl w:val="0"/>
          <w:numId w:val="1001"/>
        </w:numPr>
      </w:pPr>
      <w:r>
        <w:rPr>
          <w:b/>
          <w:bCs/>
        </w:rPr>
        <w:t xml:space="preserve">Authentically engage patients and communities throughout development.</w:t>
      </w:r>
    </w:p>
    <w:p>
      <w:pPr>
        <w:pStyle w:val="Compact"/>
        <w:numPr>
          <w:ilvl w:val="0"/>
          <w:numId w:val="1001"/>
        </w:numPr>
      </w:pPr>
      <w:r>
        <w:rPr>
          <w:b/>
          <w:bCs/>
        </w:rPr>
        <w:t xml:space="preserve">Explicitly identify fairness issues and trade‑offs.</w:t>
      </w:r>
    </w:p>
    <w:p>
      <w:pPr>
        <w:pStyle w:val="Compact"/>
        <w:numPr>
          <w:ilvl w:val="0"/>
          <w:numId w:val="1001"/>
        </w:numPr>
      </w:pPr>
      <w:r>
        <w:rPr>
          <w:b/>
          <w:bCs/>
        </w:rPr>
        <w:t xml:space="preserve">Ensure accountability for equitable outcomes.</w:t>
      </w:r>
      <w:hyperlink r:id="rId21">
        <w:r>
          <w:rPr>
            <w:rStyle w:val="Hyperlink"/>
          </w:rPr>
          <w:t xml:space="preserve">[3]</w:t>
        </w:r>
      </w:hyperlink>
    </w:p>
    <w:p>
      <w:pPr>
        <w:pStyle w:val="FirstParagraph"/>
      </w:pPr>
      <w:r>
        <w:t xml:space="preserve">AHRQ’s press release notes that the panel drew on evidence reviews and public feedback sessions and emphasises that algorithmic bias perpetuates healthcare inequities</w:t>
      </w:r>
      <w:hyperlink r:id="rId22">
        <w:r>
          <w:rPr>
            <w:rStyle w:val="Hyperlink"/>
          </w:rPr>
          <w:t xml:space="preserve">[4]</w:t>
        </w:r>
      </w:hyperlink>
      <w:r>
        <w:t xml:space="preserve">. The initiative aims to mitigate these harms so that AI “advances health for all”</w:t>
      </w:r>
      <w:hyperlink r:id="rId21">
        <w:r>
          <w:rPr>
            <w:rStyle w:val="Hyperlink"/>
          </w:rPr>
          <w:t xml:space="preserve">[5]</w:t>
        </w:r>
      </w:hyperlink>
      <w:r>
        <w:t xml:space="preserve">. Additional context comes from AHRQ’s systematic review of bias‑mitigation strategies—which include removing problematic variables, adding demographic features, modifying training data composition, building separate models for different groups, and adjusting statistical methods—but the authors note that the effectiveness of each strategy depends on the specific condition and population</w:t>
      </w:r>
      <w:hyperlink r:id="rId23">
        <w:r>
          <w:rPr>
            <w:rStyle w:val="Hyperlink"/>
          </w:rPr>
          <w:t xml:space="preserve">[6]</w:t>
        </w:r>
      </w:hyperlink>
      <w:r>
        <w:t xml:space="preserve">.</w:t>
      </w:r>
    </w:p>
    <w:bookmarkEnd w:id="24"/>
    <w:bookmarkStart w:id="25" w:name="meaninglessness"/>
    <w:p>
      <w:pPr>
        <w:pStyle w:val="Heading2"/>
      </w:pPr>
      <w:r>
        <w:t xml:space="preserve">Meaninglessness</w:t>
      </w:r>
    </w:p>
    <w:p>
      <w:pPr>
        <w:pStyle w:val="FirstParagraph"/>
      </w:pPr>
      <w:r>
        <w:t xml:space="preserve">Luke Munn argues that many AI ethics codes collapse into vague, feel‑good terms such as fairness, privacy or sustainability, enabling “ethics shopping” and box‑ticking. The AHRQ–NIMHD framework seeks to avoid this pitfall by specifying that equity must be considered</w:t>
      </w:r>
      <w:r>
        <w:t xml:space="preserve"> </w:t>
      </w:r>
      <w:r>
        <w:rPr>
          <w:b/>
          <w:bCs/>
        </w:rPr>
        <w:t xml:space="preserve">during all phases</w:t>
      </w:r>
      <w:r>
        <w:t xml:space="preserve"> </w:t>
      </w:r>
      <w:r>
        <w:t xml:space="preserve">of algorithm development and explicitly identifying fairness trade‑offs</w:t>
      </w:r>
      <w:hyperlink r:id="rId21">
        <w:r>
          <w:rPr>
            <w:rStyle w:val="Hyperlink"/>
          </w:rPr>
          <w:t xml:space="preserve">[3]</w:t>
        </w:r>
      </w:hyperlink>
      <w:r>
        <w:t xml:space="preserve">. Yet the principles remain high‑level. “Promote health and healthcare equity” is aspirational but doesn’t define</w:t>
      </w:r>
      <w:r>
        <w:t xml:space="preserve"> </w:t>
      </w:r>
      <w:r>
        <w:rPr>
          <w:b/>
          <w:bCs/>
        </w:rPr>
        <w:t xml:space="preserve">how</w:t>
      </w:r>
      <w:r>
        <w:t xml:space="preserve"> </w:t>
      </w:r>
      <w:r>
        <w:t xml:space="preserve">designers should weigh outcomes for culturally and linguistically diverse (CLD) communities or measure improvements. Similarly, transparency and explainability are endorsed without clarifying the depth of disclosure needed (e.g., should code be open, or are plain‑language summaries sufficient?). The call to engage patients and communities is critical for CLD populations, but the guidance does not outline processes for language access, trauma‑informed participation or compensating participants. Without such specifics, healthcare organisations might interpret “engagement” as a single focus group rather than sustained collaboration. In the context of the IDAI700 puzzle plan—where fair diagnostics require explicit fairness metrics, accessible communication and culturally grounded validation—the initiative’s broad values risk being</w:t>
      </w:r>
      <w:r>
        <w:t xml:space="preserve"> </w:t>
      </w:r>
      <w:r>
        <w:rPr>
          <w:b/>
          <w:bCs/>
        </w:rPr>
        <w:t xml:space="preserve">insufficiently actionable</w:t>
      </w:r>
      <w:r>
        <w:t xml:space="preserve">.</w:t>
      </w:r>
    </w:p>
    <w:bookmarkEnd w:id="25"/>
    <w:bookmarkStart w:id="26" w:name="isolation"/>
    <w:p>
      <w:pPr>
        <w:pStyle w:val="Heading2"/>
      </w:pPr>
      <w:r>
        <w:t xml:space="preserve">Isolation</w:t>
      </w:r>
    </w:p>
    <w:p>
      <w:pPr>
        <w:pStyle w:val="FirstParagraph"/>
      </w:pPr>
      <w:r>
        <w:t xml:space="preserve">Munn warns that ethics guidelines often operate in isolation from broader power structures, focusing on technical fixes while ignoring the political‑economic systems that produce bias. The AHRQ–NIMHD framework recognises that algorithmic bias arises from unrepresentative data and calls for diverse training datasets</w:t>
      </w:r>
      <w:hyperlink r:id="rId21">
        <w:r>
          <w:rPr>
            <w:rStyle w:val="Hyperlink"/>
          </w:rPr>
          <w:t xml:space="preserve">[2]</w:t>
        </w:r>
      </w:hyperlink>
      <w:r>
        <w:t xml:space="preserve">. However, it situates the problem within the AI life‑cycle rather than interrogating why minority communities are underrepresented in healthcare datasets to begin with—issues linked to systemic racism, under‑insurance, immigration barriers and mistrust of health institutions. There is no explicit discussion of structural determinants (e.g., discriminatory healthcare practices, resource allocation) or corporate incentives that may encourage hospitals and vendors to use biased tools for efficiency. In Munn’s terms, the framework risks</w:t>
      </w:r>
      <w:r>
        <w:t xml:space="preserve"> </w:t>
      </w:r>
      <w:r>
        <w:rPr>
          <w:b/>
          <w:bCs/>
        </w:rPr>
        <w:t xml:space="preserve">isolating</w:t>
      </w:r>
      <w:r>
        <w:t xml:space="preserve"> </w:t>
      </w:r>
      <w:r>
        <w:t xml:space="preserve">algorithmic fairness from the socio‑economic and political conditions that produce health inequities.</w:t>
      </w:r>
    </w:p>
    <w:p>
      <w:pPr>
        <w:pStyle w:val="BodyText"/>
      </w:pPr>
      <w:r>
        <w:t xml:space="preserve">In IDAI700, fair diagnostics are framed within the EQUITAS/Puzzle Plan as both technical and socio‑cultural—requiring trauma‑informed, identity‑affirming designs and addressing intersectional oppression. The panel’s focus on algorithm development is necessary but not sufficient; it lacks commitments to support data sovereignty for marginalized groups, to co‑develop diagnostic tools with CLD communities beyond token engagement, or to challenge profit‑driven models of healthcare delivery. Without these broader interventions, the initiative may not meaningfully alter the systemic forces that degrade autonomy and fairness for marginalized patients.</w:t>
      </w:r>
    </w:p>
    <w:bookmarkEnd w:id="26"/>
    <w:bookmarkStart w:id="27" w:name="enforcement"/>
    <w:p>
      <w:pPr>
        <w:pStyle w:val="Heading2"/>
      </w:pPr>
      <w:r>
        <w:t xml:space="preserve">Enforcement</w:t>
      </w:r>
    </w:p>
    <w:p>
      <w:pPr>
        <w:pStyle w:val="FirstParagraph"/>
      </w:pPr>
      <w:r>
        <w:t xml:space="preserve">Another of Munn’s criticisms is that ethics codes are often “toothless”—they lack enforcement mechanisms or penalties. The AHRQ–NIMHD framework presents guiding principles and highlights accountability, yet there is no binding regulatory component. The initiative does not create an oversight body, require external audits, or mandate that hospitals halt deployment of biased algorithms. There are no consequences if institutions ignore the guidelines; at most, organisations might face reputational pressure. While AHRQ’s evidence review enumerates potential bias‑mitigation strategies</w:t>
      </w:r>
      <w:hyperlink r:id="rId23">
        <w:r>
          <w:rPr>
            <w:rStyle w:val="Hyperlink"/>
          </w:rPr>
          <w:t xml:space="preserve">[6]</w:t>
        </w:r>
      </w:hyperlink>
      <w:r>
        <w:t xml:space="preserve">, applying them remains voluntary. For CLD communities, this lack of enforcement is troubling: historically, promises of fairness are not honoured without legal mandates. Munn would likely argue that accountability must be</w:t>
      </w:r>
      <w:r>
        <w:t xml:space="preserve"> </w:t>
      </w:r>
      <w:r>
        <w:rPr>
          <w:b/>
          <w:bCs/>
        </w:rPr>
        <w:t xml:space="preserve">baked into governance</w:t>
      </w:r>
      <w:r>
        <w:t xml:space="preserve">, with requirements for transparent fairness audits, accessible complaint mechanisms and the power to withdraw approval of algorithms that perpetuate disparities.</w:t>
      </w:r>
    </w:p>
    <w:bookmarkEnd w:id="27"/>
    <w:bookmarkStart w:id="28" w:name="diversion"/>
    <w:p>
      <w:pPr>
        <w:pStyle w:val="Heading2"/>
      </w:pPr>
      <w:r>
        <w:t xml:space="preserve">Diversion</w:t>
      </w:r>
    </w:p>
    <w:p>
      <w:pPr>
        <w:pStyle w:val="FirstParagraph"/>
      </w:pPr>
      <w:r>
        <w:t xml:space="preserve">Munn warns that “ethics talk” can divert attention and resources from substantive regulation. Because the AHRQ–NIMHD guidelines emerge from federal agencies rather than industry, they could inform future policy. However, there is a risk that healthcare providers or AI vendors will cite compliance with these nonbinding principles to stall more stringent oversight. Without clear metrics or enforcement, organisations may spend resources on compliance narratives rather than investing in the deep work of building representative datasets, integrating interpreters, or redesigning workflows to empower patients. In the IDAI700 context, focusing solely on algorithmic fairness may divert attention from broader reforms like universal healthcare access, equitable funding for community health centres serving CLD populations, and inclusive digital infrastructure.</w:t>
      </w:r>
    </w:p>
    <w:bookmarkEnd w:id="28"/>
    <w:bookmarkStart w:id="29" w:name="final-evaluation"/>
    <w:p>
      <w:pPr>
        <w:pStyle w:val="Heading2"/>
      </w:pPr>
      <w:r>
        <w:t xml:space="preserve">Final Evaluation</w:t>
      </w:r>
    </w:p>
    <w:p>
      <w:pPr>
        <w:pStyle w:val="FirstParagraph"/>
      </w:pPr>
      <w:r>
        <w:t xml:space="preserve">Through Munn’s critical lens, the AHRQ–NIMHD expert panel provides a</w:t>
      </w:r>
      <w:r>
        <w:t xml:space="preserve"> </w:t>
      </w:r>
      <w:r>
        <w:rPr>
          <w:b/>
          <w:bCs/>
        </w:rPr>
        <w:t xml:space="preserve">necessary but incomplete</w:t>
      </w:r>
      <w:r>
        <w:t xml:space="preserve"> </w:t>
      </w:r>
      <w:r>
        <w:t xml:space="preserve">intervention. It acknowledges that algorithms can exacerbate racial and ethnic disparities and offers a life‑cycle framework with equity and community engagement at its core. These features distinguish it from purely symbolic corporate codes and align with IDAI700’s emphasis on fair diagnostics for marginalized groups. However, the principles are</w:t>
      </w:r>
      <w:r>
        <w:t xml:space="preserve"> </w:t>
      </w:r>
      <w:r>
        <w:rPr>
          <w:b/>
          <w:bCs/>
        </w:rPr>
        <w:t xml:space="preserve">broad</w:t>
      </w:r>
      <w:r>
        <w:t xml:space="preserve">, leaving room for superficial adherence; they</w:t>
      </w:r>
      <w:r>
        <w:t xml:space="preserve"> </w:t>
      </w:r>
      <w:r>
        <w:rPr>
          <w:b/>
          <w:bCs/>
        </w:rPr>
        <w:t xml:space="preserve">do not confront structural power imbalances</w:t>
      </w:r>
      <w:r>
        <w:t xml:space="preserve"> </w:t>
      </w:r>
      <w:r>
        <w:t xml:space="preserve">that produce biased data and healthcare inequities; and they</w:t>
      </w:r>
      <w:r>
        <w:t xml:space="preserve"> </w:t>
      </w:r>
      <w:r>
        <w:rPr>
          <w:b/>
          <w:bCs/>
        </w:rPr>
        <w:t xml:space="preserve">lack enforceable mechanisms</w:t>
      </w:r>
      <w:r>
        <w:t xml:space="preserve"> </w:t>
      </w:r>
      <w:r>
        <w:t xml:space="preserve">to ensure compliance. Consequently, the framework could enable “ethics washing” if adopted as a substitute for regulation. Munn would likely view it as a positive step toward AI justice but caution that it must be coupled with</w:t>
      </w:r>
      <w:r>
        <w:t xml:space="preserve"> </w:t>
      </w:r>
      <w:r>
        <w:rPr>
          <w:b/>
          <w:bCs/>
        </w:rPr>
        <w:t xml:space="preserve">legal mandates</w:t>
      </w:r>
      <w:r>
        <w:t xml:space="preserve">,</w:t>
      </w:r>
      <w:r>
        <w:t xml:space="preserve"> </w:t>
      </w:r>
      <w:r>
        <w:rPr>
          <w:b/>
          <w:bCs/>
        </w:rPr>
        <w:t xml:space="preserve">external audits</w:t>
      </w:r>
      <w:r>
        <w:t xml:space="preserve">,</w:t>
      </w:r>
      <w:r>
        <w:t xml:space="preserve"> </w:t>
      </w:r>
      <w:r>
        <w:rPr>
          <w:b/>
          <w:bCs/>
        </w:rPr>
        <w:t xml:space="preserve">community governance</w:t>
      </w:r>
      <w:r>
        <w:t xml:space="preserve">, and investments in</w:t>
      </w:r>
      <w:r>
        <w:t xml:space="preserve"> </w:t>
      </w:r>
      <w:r>
        <w:rPr>
          <w:b/>
          <w:bCs/>
        </w:rPr>
        <w:t xml:space="preserve">CLD‑centred data and infrastructure</w:t>
      </w:r>
      <w:r>
        <w:t xml:space="preserve">. Only then can algorithmic fairness move from aspirational rhetoric to systemic transformation.</w:t>
      </w:r>
    </w:p>
    <w:bookmarkEnd w:id="29"/>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r>
        <w:t xml:space="preserve">Eliminating Racial Bias in Health Care AI: Expert Panel Offers Guidelines &lt; Yale School of Medicine</w:t>
      </w:r>
    </w:p>
    <w:p>
      <w:pPr>
        <w:pStyle w:val="BodyText"/>
      </w:pPr>
      <w:hyperlink r:id="rId21">
        <w:r>
          <w:rPr>
            <w:rStyle w:val="Hyperlink"/>
          </w:rPr>
          <w:t xml:space="preserve">https://medicine.yale.edu/news-article/eliminating-racial-bias-in-health-care-ai-expert-panel-offers-guidelines/</w:t>
        </w:r>
      </w:hyperlink>
    </w:p>
    <w:p>
      <w:pPr>
        <w:pStyle w:val="BodyText"/>
      </w:pPr>
      <w:hyperlink r:id="rId22">
        <w:r>
          <w:rPr>
            <w:rStyle w:val="Hyperlink"/>
          </w:rPr>
          <w:t xml:space="preserve">[4]</w:t>
        </w:r>
      </w:hyperlink>
      <w:r>
        <w:t xml:space="preserve"> </w:t>
      </w:r>
      <w:r>
        <w:t xml:space="preserve">Guiding Principles Help Healthcare Community Address Potential Bias Resulting from Algorithms | Agency for Healthcare Research and Quality</w:t>
      </w:r>
    </w:p>
    <w:p>
      <w:pPr>
        <w:pStyle w:val="BodyText"/>
      </w:pPr>
      <w:hyperlink r:id="rId32">
        <w:r>
          <w:rPr>
            <w:rStyle w:val="Hyperlink"/>
          </w:rPr>
          <w:t xml:space="preserve">https://www.ahrq.gov/news/newsroom/press-releases/guiding-principles.html</w:t>
        </w:r>
      </w:hyperlink>
    </w:p>
    <w:p>
      <w:pPr>
        <w:pStyle w:val="BodyText"/>
      </w:pPr>
      <w:hyperlink r:id="rId23">
        <w:r>
          <w:rPr>
            <w:rStyle w:val="Hyperlink"/>
          </w:rPr>
          <w:t xml:space="preserve">[6]</w:t>
        </w:r>
      </w:hyperlink>
      <w:r>
        <w:t xml:space="preserve"> </w:t>
      </w:r>
      <w:r>
        <w:t xml:space="preserve"> </w:t>
      </w:r>
      <w:r>
        <w:t xml:space="preserve">Bias in artificial intelligence algorithms and recommendations for mitigation - PMC</w:t>
      </w:r>
      <w:r>
        <w:t xml:space="preserve"> </w:t>
      </w:r>
    </w:p>
    <w:p>
      <w:pPr>
        <w:pStyle w:val="BodyText"/>
      </w:pPr>
      <w:hyperlink r:id="rId33">
        <w:r>
          <w:rPr>
            <w:rStyle w:val="Hyperlink"/>
          </w:rPr>
          <w:t xml:space="preserve">https://pmc.ncbi.nlm.nih.gov/articles/PMC10287014/</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edicine.yale.edu/news-article/eliminating-racial-bias-in-health-care-ai-expert-panel-offers-guidelines/" TargetMode="External" /><Relationship Type="http://schemas.openxmlformats.org/officeDocument/2006/relationships/hyperlink" Id="rId33" Target="https://pmc.ncbi.nlm.nih.gov/articles/PMC10287014/" TargetMode="External" /><Relationship Type="http://schemas.openxmlformats.org/officeDocument/2006/relationships/hyperlink" Id="rId23" Target="https://pmc.ncbi.nlm.nih.gov/articles/PMC10287014/#:~:text=Recently%2C%20the%20Evidence,60" TargetMode="External" /><Relationship Type="http://schemas.openxmlformats.org/officeDocument/2006/relationships/hyperlink" Id="rId32" Target="https://www.ahrq.gov/news/newsroom/press-releases/guiding-principles.html" TargetMode="External" /><Relationship Type="http://schemas.openxmlformats.org/officeDocument/2006/relationships/hyperlink" Id="rId22" Target="https://www.ahrq.gov/news/newsroom/press-releases/guiding-principles.html#:~:text=These%20guiding%20principles%20were%20developed,be%20found%20on%20AHRQ%E2%80%99s%20website" TargetMode="External" /></Relationships>
</file>

<file path=word/_rels/footnotes.xml.rels><?xml version="1.0" encoding="UTF-8"?><Relationships xmlns="http://schemas.openxmlformats.org/package/2006/relationships"><Relationship Type="http://schemas.openxmlformats.org/officeDocument/2006/relationships/hyperlink" Id="rId21" Target="https://medicine.yale.edu/news-article/eliminating-racial-bias-in-health-care-ai-expert-panel-offers-guidelines/" TargetMode="External" /><Relationship Type="http://schemas.openxmlformats.org/officeDocument/2006/relationships/hyperlink" Id="rId33" Target="https://pmc.ncbi.nlm.nih.gov/articles/PMC10287014/" TargetMode="External" /><Relationship Type="http://schemas.openxmlformats.org/officeDocument/2006/relationships/hyperlink" Id="rId23" Target="https://pmc.ncbi.nlm.nih.gov/articles/PMC10287014/#:~:text=Recently%2C%20the%20Evidence,60" TargetMode="External" /><Relationship Type="http://schemas.openxmlformats.org/officeDocument/2006/relationships/hyperlink" Id="rId32" Target="https://www.ahrq.gov/news/newsroom/press-releases/guiding-principles.html" TargetMode="External" /><Relationship Type="http://schemas.openxmlformats.org/officeDocument/2006/relationships/hyperlink" Id="rId22" Target="https://www.ahrq.gov/news/newsroom/press-releases/guiding-principles.html#:~:text=These%20guiding%20principles%20were%20developed,be%20found%20on%20AHRQ%E2%80%99s%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2025-10-04T07:25:31Z</dcterms:created>
  <dcterms:modified xsi:type="dcterms:W3CDTF">2025-10-04T07:25:31Z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